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Минобрнауки России от 22.04.2014 N 392</w:t>
              <w:br/>
              <w:t xml:space="preserve">(ред. от 01.09.2022)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специальности 25.02.03 Техническая эксплуатация электрифицированных и пилотажно-навигационных комплексов"</w:t>
              <w:br/>
              <w:t xml:space="preserve">(Зарегистрировано в Минюсте России 27.06.2014 N 32899)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16.12.2022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27 июня 2014 г. N 32899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ОБРАЗОВАНИЯ И НАУКИ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22 апреля 2014 г. N 392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25.02.03 ТЕХНИЧЕСКАЯ ЭКСПЛУАТАЦИЯ ЭЛЕКТРИФИЦИРОВАННЫХ</w:t>
      </w:r>
    </w:p>
    <w:p>
      <w:pPr>
        <w:pStyle w:val="2"/>
        <w:jc w:val="center"/>
      </w:pPr>
      <w:r>
        <w:rPr>
          <w:sz w:val="20"/>
        </w:rPr>
        <w:t xml:space="preserve">И ПИЛОТАЖНО-НАВИГАЦИОННЫХ КОМПЛЕКСОВ"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Минобрнауки России от 09.04.2015 N 390 (ред. от 13.01.2021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199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09.04.2015 N 390,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Приказов Минпросвещения России от 13.07.2021 </w:t>
            </w:r>
            <w:hyperlink w:history="0" r:id="rId8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N 450</w:t>
              </w:r>
            </w:hyperlink>
            <w:r>
              <w:rPr>
                <w:sz w:val="20"/>
                <w:color w:val="392c69"/>
              </w:rPr>
              <w:t xml:space="preserve">, от 01.09.2022 </w:t>
            </w:r>
            <w:hyperlink w:history="0" r:id="rId9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      <w:r>
                <w:rPr>
                  <w:sz w:val="20"/>
                  <w:color w:val="0000ff"/>
                </w:rPr>
                <w:t xml:space="preserve">N 796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r>
        <w:rPr>
          <w:sz w:val="20"/>
        </w:rPr>
        <w:t xml:space="preserve">пунктом 5.2.41</w:t>
      </w:r>
      <w:r>
        <w:rPr>
          <w:sz w:val="20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582), </w:t>
      </w:r>
      <w:hyperlink w:history="0" r:id="rId10" w:tooltip="Постановление Правительства РФ от 05.08.2013 N 661 (ред. от 08.01.2018) &quot;Об утверждении Правил разработки, утверждения федеральных государственных образовательных стандартов и внесения в них изменений&quot; ------------ Утратил силу или отменен {КонсультантПлюс}">
        <w:r>
          <w:rPr>
            <w:sz w:val="20"/>
            <w:color w:val="0000ff"/>
          </w:rPr>
          <w:t xml:space="preserve">пунктом 17</w:t>
        </w:r>
      </w:hyperlink>
      <w:r>
        <w:rPr>
          <w:sz w:val="20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7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специальности 25.02.03 Техническая эксплуатация электрифицированных и пилотажно-навигационных комплексов.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11" w:tooltip="Приказ Минобрнауки РФ от 20.10.2009 N 434 &quot;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162108 Техническая эксплуатация электрифицированных и пилотажно-навигационных комплексов&quot; (Зарегистрировано в Минюсте РФ 08.12.2009 N 15403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и науки Российской Федерации от 20 октября 2009 г. N 434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162108 Техническая эксплуатация электрифицированных и пилотажно-навигационных комплексов" (зарегистрирован Министерством юстиции Российской Федерации 8 декабря 2009 г., регистрационный N 15403).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 1 сентября 2014 года.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Д.В.ЛИВАНОВ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образования</w:t>
      </w:r>
    </w:p>
    <w:p>
      <w:pPr>
        <w:pStyle w:val="0"/>
        <w:jc w:val="right"/>
      </w:pPr>
      <w:r>
        <w:rPr>
          <w:sz w:val="20"/>
        </w:rPr>
        <w:t xml:space="preserve">и науки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22 апреля 2014 г. N 392</w:t>
      </w:r>
    </w:p>
    <w:p>
      <w:pPr>
        <w:pStyle w:val="0"/>
        <w:jc w:val="right"/>
      </w:pPr>
      <w:r>
        <w:rPr>
          <w:sz w:val="20"/>
        </w:rPr>
      </w:r>
    </w:p>
    <w:bookmarkStart w:id="37" w:name="P37"/>
    <w:bookmarkEnd w:id="37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25.02.03 ТЕХНИЧЕСКАЯ ЭКСПЛУАТАЦИЯ ЭЛЕКТРИФИЦИРОВАННЫХ</w:t>
      </w:r>
    </w:p>
    <w:p>
      <w:pPr>
        <w:pStyle w:val="2"/>
        <w:jc w:val="center"/>
      </w:pPr>
      <w:r>
        <w:rPr>
          <w:sz w:val="20"/>
        </w:rPr>
        <w:t xml:space="preserve">И ПИЛОТАЖНО-НАВИГАЦИОННЫХ КОМПЛЕКСОВ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2" w:tooltip="Приказ Минобрнауки России от 09.04.2015 N 390 (ред. от 13.01.2021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199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09.04.2015 N 390,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Приказов Минпросвещения России от 13.07.2021 </w:t>
            </w:r>
            <w:hyperlink w:history="0" r:id="rId13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N 450</w:t>
              </w:r>
            </w:hyperlink>
            <w:r>
              <w:rPr>
                <w:sz w:val="20"/>
                <w:color w:val="392c69"/>
              </w:rPr>
              <w:t xml:space="preserve">, от 01.09.2022 </w:t>
            </w:r>
            <w:hyperlink w:history="0" r:id="rId14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      <w:r>
                <w:rPr>
                  <w:sz w:val="20"/>
                  <w:color w:val="0000ff"/>
                </w:rPr>
                <w:t xml:space="preserve">N 796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ОБЛАСТЬ ПРИМЕНЕНИЯ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25.02.03 Техническая эксплуатация электрифицированных и пилотажно-навигационных комплексов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Право на реализацию программы подготовки специалистов среднего звена по специальности 25.02.03 Техническая эксплуатация электрифицированных и пилотажно-навигационных комплексов имеет образовательная организация при наличии соответствующей лицензии на осуществление образовательной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>
      <w:pPr>
        <w:pStyle w:val="0"/>
        <w:jc w:val="both"/>
      </w:pPr>
      <w:r>
        <w:rPr>
          <w:sz w:val="20"/>
        </w:rPr>
        <w:t xml:space="preserve">(п. 1.3 введен </w:t>
      </w:r>
      <w:hyperlink w:history="0" r:id="rId15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примерную основную образовательную программу примерной рабочей программы воспитания и примерного календарного плана воспитательной работы.</w:t>
      </w:r>
    </w:p>
    <w:p>
      <w:pPr>
        <w:pStyle w:val="0"/>
        <w:jc w:val="both"/>
      </w:pPr>
      <w:r>
        <w:rPr>
          <w:sz w:val="20"/>
        </w:rPr>
        <w:t xml:space="preserve">(п. 1.4 введен </w:t>
      </w:r>
      <w:hyperlink w:history="0" r:id="rId16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ИСПОЛЬЗУЕМЫЕ СОКРАЩЕНИЯ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настоящем стандарте используются следующие сокращения: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 - среднее профессиональное образование;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ФГОС СПО - федеральный государственный образовательный стандарт среднего профессионального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ППССЗ - программа подготовки специалистов среднего звена;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- общая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- профессиональная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ПМ - профессиональный модуль;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МДК - междисциплинарный курс.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ХАРАКТЕРИСТИКА ПОДГОТОВКИ ПО СПЕЦИАЛЬНОСТИ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 Получение СПО по ППССЗ допускается только в 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Сроки получения СПО по специальности 25.02.03 Техническая эксплуатация электрифицированных и пилотажно-навигационных комплексов базовой подготовки в очной форме обучения и присваиваемая квалификация приводятся в Таблице 1.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1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432"/>
        <w:gridCol w:w="2928"/>
        <w:gridCol w:w="3420"/>
      </w:tblGrid>
      <w:tr>
        <w:tc>
          <w:tcPr>
            <w:tcW w:w="34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ППССЗ</w:t>
            </w:r>
          </w:p>
        </w:tc>
        <w:tc>
          <w:tcPr>
            <w:tcW w:w="2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базовой подготовки</w:t>
            </w:r>
          </w:p>
        </w:tc>
        <w:tc>
          <w:tcPr>
            <w:tcW w:w="34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ППССЗ базовой подготовки в очной форме обучения </w:t>
            </w:r>
            <w:hyperlink w:history="0" w:anchor="P83" w:tooltip="&lt;1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</w:tr>
      <w:tr>
        <w:tc>
          <w:tcPr>
            <w:tcW w:w="34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2928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Техник</w:t>
            </w:r>
          </w:p>
        </w:tc>
        <w:tc>
          <w:tcPr>
            <w:tcW w:w="34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года 10 месяцев</w:t>
            </w:r>
          </w:p>
        </w:tc>
      </w:tr>
      <w:tr>
        <w:tc>
          <w:tcPr>
            <w:tcW w:w="34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vMerge w:val="continue"/>
          </w:tcPr>
          <w:p/>
        </w:tc>
        <w:tc>
          <w:tcPr>
            <w:tcW w:w="34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года 10 месяцев </w:t>
            </w:r>
            <w:hyperlink w:history="0" w:anchor="P84" w:tooltip="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83" w:name="P83"/>
    <w:bookmarkEnd w:id="8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Независимо от применяемых образовательных технологий.</w:t>
      </w:r>
    </w:p>
    <w:bookmarkStart w:id="84" w:name="P84"/>
    <w:bookmarkEnd w:id="8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Сроки получения СПО по ППССЗ базовой подготовки независимо от применяемых образовательных технологий увеличиваются: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для обучающихся по очно-заочной и заочной формам обучения: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7" w:tooltip="Приказ Минобрнауки России от 09.04.2015 N 390 (ред. от 13.01.2021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199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09.04.2015 N 390)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не более чем на 1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не более чем на 1,5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для инвалидов и лиц с ограниченными возможностями здоровья - не более чем на 10 месяцев.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Срок получения образования по образовательной программе, реализуемой в условиях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"Профессионалитет", а также объем такой образовательной программы могут быть уменьшены с учетом соответствующей ПООП, но не более чем на 40 процентов от срока получения образования и объема образовательной программы, установленных ФГОС СПО &lt;3&gt;, за исключением срока получения образования и объема образовательной программы, отведенных на получение среднего общего образования в пределах образовательной программы.</w:t>
      </w:r>
    </w:p>
    <w:p>
      <w:pPr>
        <w:pStyle w:val="0"/>
        <w:jc w:val="both"/>
      </w:pPr>
      <w:r>
        <w:rPr>
          <w:sz w:val="20"/>
        </w:rPr>
        <w:t xml:space="preserve">(п. 3.3 введен </w:t>
      </w:r>
      <w:hyperlink w:history="0" r:id="rId18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</w:t>
      </w:r>
      <w:hyperlink w:history="0" r:id="rId19" w:tooltip="Постановление Правительства РФ от 16.03.2022 N 387 &quot;О проведении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&quot;Профессионалитет&quot; (вместе с &quot;Положением о проведении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&quot;Профес {КонсультантПлюс}">
        <w:r>
          <w:rPr>
            <w:sz w:val="20"/>
            <w:color w:val="0000ff"/>
          </w:rPr>
          <w:t xml:space="preserve">Пункт 11</w:t>
        </w:r>
      </w:hyperlink>
      <w:r>
        <w:rPr>
          <w:sz w:val="20"/>
        </w:rPr>
        <w:t xml:space="preserve"> Положения о проведении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"Профессионалитет", утвержденного постановлением Правительства Российской Федерации от 16 марта 2022 г. N 387 (Собрание законодательства Российской Федерации, 2022, N 12, ст. 1871).</w:t>
      </w:r>
    </w:p>
    <w:p>
      <w:pPr>
        <w:pStyle w:val="0"/>
        <w:jc w:val="both"/>
      </w:pPr>
      <w:r>
        <w:rPr>
          <w:sz w:val="20"/>
        </w:rPr>
        <w:t xml:space="preserve">(сноска введена </w:t>
      </w:r>
      <w:hyperlink w:history="0" r:id="rId20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ХАРАКТЕРИСТИКА ПРОФЕССИОНАЛЬНОЙ</w:t>
      </w:r>
    </w:p>
    <w:p>
      <w:pPr>
        <w:pStyle w:val="2"/>
        <w:jc w:val="center"/>
      </w:pPr>
      <w:r>
        <w:rPr>
          <w:sz w:val="20"/>
        </w:rPr>
        <w:t xml:space="preserve">ДЕЯТЕЛЬНОСТИ ВЫПУСКНИКОВ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Область профессиональной деятельности выпускников: техническая эксплуатация электрифицированных и пилотажно-навигационных комплексов в авиационных организациях различных форм собственности.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Объектами профессиональной деятельности выпускников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бортовые системы электроснабжения;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электрифицированное оборудование;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информационно-измерительные приборы, системы и комплексы, вычислительные устройства и системы;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системы автоматического управления и пилотажно-навигационные комплексы;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системы отображения информации и бортовые средства регистрации полетных данных;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первичные трудовые коллективы.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Техник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4.3.1. Техническая эксплуатация электрифицированных и пилотажно-навигационных комплексов.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4.3.2. Выполнение работ по одной или нескольким профессиям рабочих, должностям служащих (</w:t>
      </w:r>
      <w:hyperlink w:history="0" w:anchor="P387" w:tooltip="ПЕРЕЧЕНЬ">
        <w:r>
          <w:rPr>
            <w:sz w:val="20"/>
            <w:color w:val="0000ff"/>
          </w:rPr>
          <w:t xml:space="preserve">приложение</w:t>
        </w:r>
      </w:hyperlink>
      <w:r>
        <w:rPr>
          <w:sz w:val="20"/>
        </w:rPr>
        <w:t xml:space="preserve"> к настоящему ФГОС СПО).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ТРЕБОВАНИЯ К РЕЗУЛЬТАТАМ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Выпускник, освоивший образовательную программу, должен обладать следующими общими компетенциями (далее - ОК):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01. Выбирать способы решения задач профессиональной деятельности применительно к различным контекстам;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04. Эффективно взаимодействовать и работать в коллективе и команде;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09. Пользоваться профессиональной документацией на государственном и иностранном языках.</w:t>
      </w:r>
    </w:p>
    <w:p>
      <w:pPr>
        <w:pStyle w:val="0"/>
        <w:jc w:val="both"/>
      </w:pPr>
      <w:r>
        <w:rPr>
          <w:sz w:val="20"/>
        </w:rPr>
        <w:t xml:space="preserve">(п. 5.1 в ред. </w:t>
      </w:r>
      <w:hyperlink w:history="0" r:id="rId21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Техник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5.2.1. Техническая эксплуатация электрифицированных и пилотажно-навигационных комплексов.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Осуществлять входной контроль функциональных узлов, деталей и материалов в соответствии с разработанным технологическим процессом.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Эффективно использовать основное и вспомогательное оборудование и материалы.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Осуществлять проведение стандартных и сертификационных испытаний.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1.4. Осуществлять метрологическую проверку изделий.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1.5. Проводить анализ причин брака продукции и разработку мероприятий по их устранению.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1.6. Осуществлять техническую эксплуатацию бортовых систем электроснабжения и электрифицированного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1.7. Осуществлять техническую эксплуатацию информационно-измерительных приборов, систем и комплексов.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1.8. Осуществлять техническую эксплуатацию бортовых вычислительных устройств и систем.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1.9. Осуществлять техническую эксплуатацию бортовых систем отображения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1.10. Осуществлять техническую эксплуатацию бортовых средств регистрации полетных данных.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1.11. Осуществлять техническую эксплуатацию бортовых радиоэлектронных систем.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1.12. Осуществлять наладку, настройку, регулировку и опытную проверку оборудования и систем в лабораторных условиях и на объектах.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1.13. Проводить подключение приборов, регистрацию необходимых характеристик и параметров и обработку полученных результатов.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1.14. Осуществлять ведение эксплуатационно-технической документации.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1.15. Обеспечивать соблюдение техники безопасности на производственном участке.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1.16. Осуществлять контроль качества выполняемых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1.17. Ориентироваться в условиях частой смены технологий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5.2.2. Выполнение работ по одной или нескольким профессиям рабочих, должностям служащих.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ТРЕБОВАНИЯ К СТРУКТУРЕ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ППССЗ предусматривает изучение следующих учебных циклов: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общего гуманитарного и социально-экономического;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математического и общего естественнонаучного;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профессионального;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и разделов: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(по профилю специальности);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(преддипломная);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промежуточная аттестация;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итоговая аттестация.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Общий гуманитарный и социально-экономический, математический и общий естественнонаучный учебные циклы состоят из дисциплин.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профессионального учебного цикла ППССЗ базовой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математического и общего естественнонаучного учебного цикла ППССЗ базовой подготовки должна предусматривать изучение следующих обязательных дисциплин: "ЕН.01. Математика", "ЕН.02. Информатика", "ЕН.03. Физика".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2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общепрофессионального учебного цикла базовой подготовки образовательной программы должна предусматривать изучение следующих дисциплин: "ОП.01. Электротехника", "ОП.02. Электронная техника", "ОП.03. Инженерная графика", "ОП.04. Материаловедение", "ОП.05. Техническая механика", "ОП.06. Автоматика и управление", "ОП.07. Метрология, стандартизация и подтверждение качества", "ОП.08. Техническая эксплуатация авиационного оборудования", "ОП.09. Безопасность жизнедеятельности".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3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профессионального учебного цикла базовой подготовки образовательной программы должна предусматривать изучение следующих профессиональных модулей и междисциплинарных курсов: "ПМ.01 Техническая эксплуатация электрифицированных и пилотажно-навигационных комплексов", "МДК.01.01. Летательные аппараты и двигатели", "МДК.01.02. Цифровые технологии", "МДК.01.03. Электрооборудование воздушных судов", "МДК.01.04. Приборное оборудование воздушных судов", "ПМ.02 Выполнение работ по одной или нескольким профессиям рабочих, должностям служащих".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4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2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Структура программы подготовки специалистов среднего звена</w:t>
      </w:r>
    </w:p>
    <w:p>
      <w:pPr>
        <w:pStyle w:val="0"/>
        <w:jc w:val="center"/>
      </w:pPr>
      <w:r>
        <w:rPr>
          <w:sz w:val="20"/>
        </w:rPr>
        <w:t xml:space="preserve">базовой подготовки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077"/>
        <w:gridCol w:w="4365"/>
        <w:gridCol w:w="1870"/>
        <w:gridCol w:w="1757"/>
      </w:tblGrid>
      <w:tr>
        <w:tc>
          <w:tcPr>
            <w:gridSpan w:val="2"/>
            <w:tcW w:w="54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 (час./нед.)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часов обязательных учебных занятий</w:t>
            </w:r>
          </w:p>
        </w:tc>
      </w:tr>
      <w:tr>
        <w:tc>
          <w:tcPr>
            <w:gridSpan w:val="2"/>
            <w:tcW w:w="5442" w:type="dxa"/>
          </w:tcPr>
          <w:p>
            <w:pPr>
              <w:pStyle w:val="0"/>
            </w:pPr>
            <w:r>
              <w:rPr>
                <w:sz w:val="20"/>
              </w:rPr>
              <w:t xml:space="preserve">учебные циклы</w:t>
            </w:r>
          </w:p>
        </w:tc>
        <w:tc>
          <w:tcPr>
            <w:tcW w:w="1870" w:type="dxa"/>
          </w:tcPr>
          <w:p>
            <w:pPr>
              <w:pStyle w:val="0"/>
            </w:pPr>
            <w:r>
              <w:rPr>
                <w:sz w:val="20"/>
              </w:rPr>
              <w:t xml:space="preserve">3240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2160</w:t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ОГСЭ.00</w:t>
            </w:r>
          </w:p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Общий гуманитарный и социально-экономический</w:t>
            </w:r>
          </w:p>
        </w:tc>
        <w:tc>
          <w:tcPr>
            <w:tcW w:w="1870" w:type="dxa"/>
          </w:tcPr>
          <w:p>
            <w:pPr>
              <w:pStyle w:val="0"/>
            </w:pPr>
            <w:r>
              <w:rPr>
                <w:sz w:val="20"/>
              </w:rPr>
              <w:t xml:space="preserve">660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440</w:t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ЕН.00</w:t>
            </w:r>
          </w:p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Математический и общий естественнонаучный</w:t>
            </w:r>
          </w:p>
        </w:tc>
        <w:tc>
          <w:tcPr>
            <w:tcW w:w="1870" w:type="dxa"/>
          </w:tcPr>
          <w:p>
            <w:pPr>
              <w:pStyle w:val="0"/>
            </w:pPr>
            <w:r>
              <w:rPr>
                <w:sz w:val="20"/>
              </w:rPr>
              <w:t xml:space="preserve">210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140</w:t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Профессиональный, в том числе:</w:t>
            </w:r>
          </w:p>
        </w:tc>
        <w:tc>
          <w:tcPr>
            <w:tcW w:w="1870" w:type="dxa"/>
          </w:tcPr>
          <w:p>
            <w:pPr>
              <w:pStyle w:val="0"/>
            </w:pPr>
            <w:r>
              <w:rPr>
                <w:sz w:val="20"/>
              </w:rPr>
              <w:t xml:space="preserve">2370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1580</w:t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общепрофессиональные дисциплины</w:t>
            </w:r>
          </w:p>
        </w:tc>
        <w:tc>
          <w:tcPr>
            <w:tcW w:w="1870" w:type="dxa"/>
          </w:tcPr>
          <w:p>
            <w:pPr>
              <w:pStyle w:val="0"/>
            </w:pPr>
            <w:r>
              <w:rPr>
                <w:sz w:val="20"/>
              </w:rPr>
              <w:t xml:space="preserve">1140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760</w:t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870" w:type="dxa"/>
          </w:tcPr>
          <w:p>
            <w:pPr>
              <w:pStyle w:val="0"/>
            </w:pPr>
            <w:r>
              <w:rPr>
                <w:sz w:val="20"/>
              </w:rPr>
              <w:t xml:space="preserve">1230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820</w:t>
            </w:r>
          </w:p>
        </w:tc>
      </w:tr>
      <w:tr>
        <w:tc>
          <w:tcPr>
            <w:gridSpan w:val="2"/>
            <w:tcW w:w="5442" w:type="dxa"/>
          </w:tcPr>
          <w:p>
            <w:pPr>
              <w:pStyle w:val="0"/>
            </w:pPr>
            <w:r>
              <w:rPr>
                <w:sz w:val="20"/>
              </w:rPr>
              <w:t xml:space="preserve">и разделы</w:t>
            </w:r>
          </w:p>
        </w:tc>
        <w:tc>
          <w:tcPr>
            <w:tcW w:w="18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</w:t>
            </w:r>
          </w:p>
        </w:tc>
        <w:tc>
          <w:tcPr>
            <w:tcW w:w="1870" w:type="dxa"/>
          </w:tcPr>
          <w:p>
            <w:pPr>
              <w:pStyle w:val="0"/>
            </w:pPr>
            <w:r>
              <w:rPr>
                <w:sz w:val="20"/>
              </w:rPr>
              <w:t xml:space="preserve">1404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936</w:t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итого по обязательной части ППССЗ</w:t>
            </w:r>
          </w:p>
        </w:tc>
        <w:tc>
          <w:tcPr>
            <w:tcW w:w="1870" w:type="dxa"/>
          </w:tcPr>
          <w:p>
            <w:pPr>
              <w:pStyle w:val="0"/>
            </w:pPr>
            <w:r>
              <w:rPr>
                <w:sz w:val="20"/>
              </w:rPr>
              <w:t xml:space="preserve">4644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3096</w:t>
            </w:r>
          </w:p>
        </w:tc>
      </w:tr>
      <w:tr>
        <w:tc>
          <w:tcPr>
            <w:tcW w:w="107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436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 и производственная практики</w:t>
            </w:r>
          </w:p>
        </w:tc>
        <w:tc>
          <w:tcPr>
            <w:tcW w:w="187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22 нед.</w:t>
            </w:r>
          </w:p>
        </w:tc>
        <w:tc>
          <w:tcPr>
            <w:tcW w:w="175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792</w:t>
            </w:r>
          </w:p>
        </w:tc>
      </w:tr>
      <w:tr>
        <w:tc>
          <w:tcPr>
            <w:tcW w:w="1077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ПДП.00</w:t>
            </w:r>
          </w:p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870" w:type="dxa"/>
          </w:tcPr>
          <w:p>
            <w:pPr>
              <w:pStyle w:val="0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144</w:t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870" w:type="dxa"/>
          </w:tcPr>
          <w:p>
            <w:pPr>
              <w:pStyle w:val="0"/>
            </w:pPr>
            <w:r>
              <w:rPr>
                <w:sz w:val="20"/>
              </w:rPr>
              <w:t xml:space="preserve">5 нед.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180</w:t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870" w:type="dxa"/>
          </w:tcPr>
          <w:p>
            <w:pPr>
              <w:pStyle w:val="0"/>
            </w:pPr>
            <w:r>
              <w:rPr>
                <w:sz w:val="20"/>
              </w:rPr>
              <w:t xml:space="preserve">6 нед.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216</w:t>
            </w:r>
          </w:p>
        </w:tc>
      </w:tr>
      <w:tr>
        <w:tc>
          <w:tcPr>
            <w:gridSpan w:val="2"/>
            <w:tcW w:w="5442" w:type="dxa"/>
          </w:tcPr>
          <w:p>
            <w:pPr>
              <w:pStyle w:val="0"/>
            </w:pPr>
            <w:r>
              <w:rPr>
                <w:sz w:val="20"/>
              </w:rPr>
              <w:t xml:space="preserve">Общий объем образовательной программы:</w:t>
            </w:r>
          </w:p>
        </w:tc>
        <w:tc>
          <w:tcPr>
            <w:tcW w:w="18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на базе среднего общего образования</w:t>
            </w:r>
          </w:p>
        </w:tc>
        <w:tc>
          <w:tcPr>
            <w:tcW w:w="1870" w:type="dxa"/>
          </w:tcPr>
          <w:p>
            <w:pPr>
              <w:pStyle w:val="0"/>
            </w:pPr>
            <w:r>
              <w:rPr>
                <w:sz w:val="20"/>
              </w:rPr>
              <w:t xml:space="preserve">123 нед.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4428</w:t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 базе основного общего образования, включая получение среднего общего образования на основе требований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1870" w:type="dxa"/>
          </w:tcPr>
          <w:p>
            <w:pPr>
              <w:pStyle w:val="0"/>
            </w:pPr>
            <w:r>
              <w:rPr>
                <w:sz w:val="20"/>
              </w:rPr>
              <w:t xml:space="preserve">164 нед.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5904</w:t>
            </w:r>
          </w:p>
        </w:tc>
      </w:tr>
    </w:tbl>
    <w:p>
      <w:pPr>
        <w:pStyle w:val="0"/>
        <w:jc w:val="both"/>
      </w:pPr>
      <w:r>
        <w:rPr>
          <w:sz w:val="20"/>
        </w:rPr>
        <w:t xml:space="preserve">(п. 6.4 в ред. </w:t>
      </w:r>
      <w:hyperlink w:history="0" r:id="rId25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VII. ТРЕБОВАНИЯ К УСЛОВИЯМ РЕАЛИЗАЦИИ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Образовательная организация самостоятельно разрабатывает и утверждает ППССЗ в соответствии с настоящим ФГОС СПО и с учетом соответствующей примерной ППССЗ.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формировании ППССЗ образовательная организация: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на практики, и (или)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6" w:tooltip="Приказ Минобрнауки России от 09.04.2015 N 390 (ред. от 13.01.2021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199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09.04.2015 N 390)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определять для освоения обучающимися в рамках профессионального модуля профессию рабочего, должность служащего согласно приложению к настоящему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ежегодно обновлять ППССЗ с учетом запросов работодателей, особенностей развития региона, культуры, науки, экономики, техники, технологий и социальной сферы в рамках, установленных настоящим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обеспечить обучающимся возможность участвовать в формировании индивидуальной образовательной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творческих коллективов общественных организаций, спортивных и творческих клубов;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должна предусматривать, в целях реализации компетентностного подхода,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При реализации ППССЗ обучающиеся имеют академические права и обязанности в соответствии с Федеральным </w:t>
      </w:r>
      <w:hyperlink w:history="0" r:id="rId27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&lt;4&gt;.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8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hyperlink w:history="0" r:id="rId29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&lt;4&gt;</w:t>
        </w:r>
      </w:hyperlink>
      <w:r>
        <w:rPr>
          <w:sz w:val="20"/>
        </w:rPr>
        <w:t xml:space="preserve"> Собрание законодательства Российской Федерации, 2012, N 53, ст. 7598; 2013, N 19, ст. 2326; N 23, ст. 2878; N 27, ст. 3462; N 30, ст. 4036; N 48, ст. 6165; 2014, N 6, ст. 562, ст. 566.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 Максимальный объем аудиторной учебной нагрузки в очной форме обучения составляет 36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 Максимальный объем аудиторной учебной нагрузки в очно-заочной форме обучения составляет 16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7.5.1. Максимальный объем аудиторной учебной нагрузки в год в заочной форме обучения составляет 160 академических часов.</w:t>
      </w:r>
    </w:p>
    <w:p>
      <w:pPr>
        <w:pStyle w:val="0"/>
        <w:jc w:val="both"/>
      </w:pPr>
      <w:r>
        <w:rPr>
          <w:sz w:val="20"/>
        </w:rPr>
        <w:t xml:space="preserve">(п. 7.5.1 введен </w:t>
      </w:r>
      <w:hyperlink w:history="0" r:id="rId30" w:tooltip="Приказ Минобрнауки России от 09.04.2015 N 390 (ред. от 13.01.2021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199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Минобрнауки России от 09.04.2015 N 390)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 Общая продолжительность каникул в учебном году должна составлять 8 - 11 недель, в том числе не менее 2-ух недель в зимний период.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7.7.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7.8.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7.9.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7.10.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256"/>
        <w:gridCol w:w="1814"/>
      </w:tblGrid>
      <w:tr>
        <w:tc>
          <w:tcPr>
            <w:tcW w:w="72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теоретическое обучение (при обязательной учебной нагрузке 36 часов в неделю)</w:t>
            </w:r>
          </w:p>
        </w:tc>
        <w:tc>
          <w:tcPr>
            <w:tcW w:w="1814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39 нед.</w:t>
            </w:r>
          </w:p>
        </w:tc>
      </w:tr>
      <w:tr>
        <w:tc>
          <w:tcPr>
            <w:tcW w:w="72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814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 нед.</w:t>
            </w:r>
          </w:p>
        </w:tc>
      </w:tr>
      <w:tr>
        <w:tc>
          <w:tcPr>
            <w:tcW w:w="72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814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 нед.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7.11.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7.12. В период обучения с юношами проводятся учебные сборы &lt;5&gt;.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1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hyperlink w:history="0" r:id="rId32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&lt;5&gt;</w:t>
        </w:r>
      </w:hyperlink>
      <w:r>
        <w:rPr>
          <w:sz w:val="20"/>
        </w:rPr>
        <w:t xml:space="preserve"> </w:t>
      </w:r>
      <w:hyperlink w:history="0" r:id="rId33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Пункт 1 статьи 13</w:t>
        </w:r>
      </w:hyperlink>
      <w:r>
        <w:rPr>
          <w:sz w:val="20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2974,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2329; ст. 2331; N 23, ст. 2869; N 27, ст. 3462, ст. 3477; N 48, ст. 6165).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7.13.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состоит из двух этапов: практики по профилю специальности и преддипломной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Цели и задачи, программы и формы отчетности определяются образовательной организацией по каждому виду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7.14. Реализация ППССЗ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7.15.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Каждый обучающийся должен быть 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изданной за последние 5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Каждому обучающемуся должен быть обеспечен доступ к комплектам библиотечного фонда, состоящим не менее чем из 3 наименований российских журналов.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организациями, иными организациями и доступ к современным профессиональным базам данных и информационным ресурсам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7.16. Требование к финансовым условиям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финансовое обеспечение реализации образовательной программы должно осуществляться в объеме не ниже определенного в соответствии с бюджетным законодательством Российской Федерации &lt;6&gt; и Федеральным </w:t>
      </w:r>
      <w:hyperlink w:history="0" r:id="rId34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&lt;7&gt;.</w:t>
      </w:r>
    </w:p>
    <w:p>
      <w:pPr>
        <w:pStyle w:val="0"/>
        <w:jc w:val="both"/>
      </w:pPr>
      <w:r>
        <w:rPr>
          <w:sz w:val="20"/>
        </w:rPr>
        <w:t xml:space="preserve">(п. 7.16 в ред. </w:t>
      </w:r>
      <w:hyperlink w:history="0" r:id="rId35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&lt;6&gt; Бюджетный </w:t>
      </w:r>
      <w:hyperlink w:history="0" r:id="rId36" w:tooltip="&quot;Бюджетный кодекс Российской Федерации&quot; от 31.07.1998 N 145-ФЗ (ред. от 21.11.2022) {КонсультантПлюс}">
        <w:r>
          <w:rPr>
            <w:sz w:val="20"/>
            <w:color w:val="0000ff"/>
          </w:rPr>
          <w:t xml:space="preserve">кодекс</w:t>
        </w:r>
      </w:hyperlink>
      <w:r>
        <w:rPr>
          <w:sz w:val="20"/>
        </w:rPr>
        <w:t xml:space="preserve"> Российской Федерации (Собрание законодательства Российской Федерации, 1998, N 31, ст. 3823; 2022, N 29, ст. 5305).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&lt;7&gt; Собрание законодательства Российской Федерации, 2012, N 53, ст. 7598; 2022, N 29, ст. 5262.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7.17.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Перечень кабинетов, лабораторий, мастерских</w:t>
      </w:r>
    </w:p>
    <w:p>
      <w:pPr>
        <w:pStyle w:val="2"/>
        <w:jc w:val="center"/>
      </w:pPr>
      <w:r>
        <w:rPr>
          <w:sz w:val="20"/>
        </w:rPr>
        <w:t xml:space="preserve">и других помещений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Кабинеты: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социально-экономических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иностранного языка;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математики;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физики;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инженерной графики;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технической механики;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безопасности жизнедеятельности;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охраны труда;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технических средств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Лаборатории: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электротехники;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электронной техники;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материаловедения;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метрологии, стандартизации и сертификации;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вычислительной и микропроцессорной техники;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автоматики и управления;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авиационных приборов и информационно-измерительных систем;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электрифицированного оборудования и систем электроснабжения воздушных судов;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систем автоматического управления полетом;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бортовых радиоэлектронных систем.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Мастерские: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слесарные;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электромонтажные.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комплекс: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зал;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абзацы тридцатый - тридцать первый утратили силу. - </w:t>
      </w:r>
      <w:hyperlink w:history="0" r:id="rId37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Минпросвещения России от 13.07.2021 N 450.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библиотека, читальный зал с выходом в сеть Интернет; актовый зал.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должна обеспечивать: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обучающимися лабораторных и практических занятий, включая как обязательный компонент практические задания с использованием персональных компьютеров;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быть обеспечена необходимым комплектом лицензионного программного обеспечения.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7.18. Реализация ППССЗ осуществляется образовательной организацией на государственном языке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VIII. ОЦЕНКА КАЧЕСТВА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8.1. Оценка качества освоения ППССЗ должна включать текущий контроль успеваемости, промежуточную и государственную итоговую аттестацию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 Оценка качества подготовки обучающихся и выпускников осуществляется в двух основных направлениях: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уровня освоения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юношей предусматривается оценка результатов освоения основ военной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&lt;8&gt;.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8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hyperlink w:history="0" r:id="rId39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&lt;8&gt;</w:t>
        </w:r>
      </w:hyperlink>
      <w:r>
        <w:rPr>
          <w:sz w:val="20"/>
        </w:rPr>
        <w:t xml:space="preserve"> </w:t>
      </w:r>
      <w:hyperlink w:history="0" r:id="rId40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6 статьи 59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8.6. Государственная итоговая аттестация проводится в форме государственного экзамена и (или) защиты дипломного проекта (работы).</w:t>
      </w:r>
    </w:p>
    <w:p>
      <w:pPr>
        <w:pStyle w:val="0"/>
        <w:jc w:val="both"/>
      </w:pPr>
      <w:r>
        <w:rPr>
          <w:sz w:val="20"/>
        </w:rPr>
        <w:t xml:space="preserve">(п. 8.6 в ред. </w:t>
      </w:r>
      <w:hyperlink w:history="0" r:id="rId41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ФГОС СПО по специальности</w:t>
      </w:r>
    </w:p>
    <w:p>
      <w:pPr>
        <w:pStyle w:val="0"/>
        <w:jc w:val="right"/>
      </w:pPr>
      <w:r>
        <w:rPr>
          <w:sz w:val="20"/>
        </w:rPr>
        <w:t xml:space="preserve">25.02.03 Техническая</w:t>
      </w:r>
    </w:p>
    <w:p>
      <w:pPr>
        <w:pStyle w:val="0"/>
        <w:jc w:val="right"/>
      </w:pPr>
      <w:r>
        <w:rPr>
          <w:sz w:val="20"/>
        </w:rPr>
        <w:t xml:space="preserve">эксплуатация электрифицированных</w:t>
      </w:r>
    </w:p>
    <w:p>
      <w:pPr>
        <w:pStyle w:val="0"/>
        <w:jc w:val="right"/>
      </w:pPr>
      <w:r>
        <w:rPr>
          <w:sz w:val="20"/>
        </w:rPr>
        <w:t xml:space="preserve">и пилотажно-навигационных комплексов</w:t>
      </w:r>
    </w:p>
    <w:p>
      <w:pPr>
        <w:pStyle w:val="0"/>
        <w:jc w:val="center"/>
      </w:pPr>
      <w:r>
        <w:rPr>
          <w:sz w:val="20"/>
        </w:rPr>
      </w:r>
    </w:p>
    <w:bookmarkStart w:id="387" w:name="P387"/>
    <w:bookmarkEnd w:id="387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ПРОФЕССИЙ РАБОЧИХ, ДОЛЖНОСТЕЙ СЛУЖАЩИХ, РЕКОМЕНДУЕМЫХ</w:t>
      </w:r>
    </w:p>
    <w:p>
      <w:pPr>
        <w:pStyle w:val="2"/>
        <w:jc w:val="center"/>
      </w:pPr>
      <w:r>
        <w:rPr>
          <w:sz w:val="20"/>
        </w:rPr>
        <w:t xml:space="preserve">К ОСВОЕНИЮ В РАМКАХ ПРОГРАММЫ ПОДГОТОВКИ СПЕЦИАЛИСТОВ</w:t>
      </w:r>
    </w:p>
    <w:p>
      <w:pPr>
        <w:pStyle w:val="2"/>
        <w:jc w:val="center"/>
      </w:pPr>
      <w:r>
        <w:rPr>
          <w:sz w:val="20"/>
        </w:rPr>
        <w:t xml:space="preserve">СРЕДНЕГО ЗВЕНА</w:t>
      </w:r>
    </w:p>
    <w:p>
      <w:pPr>
        <w:pStyle w:val="0"/>
        <w:jc w:val="center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748"/>
        <w:gridCol w:w="6032"/>
      </w:tblGrid>
      <w:tr>
        <w:tc>
          <w:tcPr>
            <w:tcW w:w="37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Общероссийскому </w:t>
            </w:r>
            <w:hyperlink w:history="0" r:id="rId4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классификатору</w:t>
              </w:r>
            </w:hyperlink>
            <w:r>
              <w:rPr>
                <w:sz w:val="20"/>
              </w:rPr>
              <w:t xml:space="preserve"> профессий рабочих, должностей служащих и тарифных разрядов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(ОК 016-94)</w:t>
            </w:r>
          </w:p>
        </w:tc>
        <w:tc>
          <w:tcPr>
            <w:tcW w:w="60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профессий рабочих, должностей служащих</w:t>
            </w:r>
          </w:p>
        </w:tc>
      </w:tr>
      <w:tr>
        <w:tc>
          <w:tcPr>
            <w:tcW w:w="37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0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3748" w:type="dxa"/>
          </w:tcPr>
          <w:p>
            <w:pPr>
              <w:pStyle w:val="0"/>
              <w:jc w:val="center"/>
            </w:pPr>
            <w:hyperlink w:history="0" r:id="rId4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10007</w:t>
              </w:r>
            </w:hyperlink>
          </w:p>
        </w:tc>
        <w:tc>
          <w:tcPr>
            <w:tcW w:w="6032" w:type="dxa"/>
          </w:tcPr>
          <w:p>
            <w:pPr>
              <w:pStyle w:val="0"/>
            </w:pPr>
            <w:r>
              <w:rPr>
                <w:sz w:val="20"/>
              </w:rPr>
              <w:t xml:space="preserve">Авиационный механик (техник) по приборам и электрооборудованию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22.04.2014 N 392</w:t>
            <w:br/>
            <w:t>(ред. от 01.09.2022)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C4330CBAA61B032571E115875DCBAC7630E6E944CF671D62242F422C02BC77C02896219B954E1C6BC57553FA354AE330958593AFB2C9E6D5T038M" TargetMode = "External"/>
	<Relationship Id="rId8" Type="http://schemas.openxmlformats.org/officeDocument/2006/relationships/hyperlink" Target="consultantplus://offline/ref=C4330CBAA61B032571E115875DCBAC7630E8E944CB6D1D62242F422C02BC77C02896219B954D196FC47553FA354AE330958593AFB2C9E6D5T038M" TargetMode = "External"/>
	<Relationship Id="rId9" Type="http://schemas.openxmlformats.org/officeDocument/2006/relationships/hyperlink" Target="consultantplus://offline/ref=C4330CBAA61B032571E115875DCBAC7637E3E942C8661D62242F422C02BC77C02896219B954F196BC07553FA354AE330958593AFB2C9E6D5T038M" TargetMode = "External"/>
	<Relationship Id="rId10" Type="http://schemas.openxmlformats.org/officeDocument/2006/relationships/hyperlink" Target="consultantplus://offline/ref=C4330CBAA61B032571E115875DCBAC7631E9E642CB671D62242F422C02BC77C02896219B954C196AC47553FA354AE330958593AFB2C9E6D5T038M" TargetMode = "External"/>
	<Relationship Id="rId11" Type="http://schemas.openxmlformats.org/officeDocument/2006/relationships/hyperlink" Target="consultantplus://offline/ref=C4330CBAA61B032571E115875DCBAC763AE4E144CE6440682C764E2E05B328C52F87219B9352186CD87C07A9T733M" TargetMode = "External"/>
	<Relationship Id="rId12" Type="http://schemas.openxmlformats.org/officeDocument/2006/relationships/hyperlink" Target="consultantplus://offline/ref=C4330CBAA61B032571E115875DCBAC7630E6E944CF671D62242F422C02BC77C02896219B954E1C6BC57553FA354AE330958593AFB2C9E6D5T038M" TargetMode = "External"/>
	<Relationship Id="rId13" Type="http://schemas.openxmlformats.org/officeDocument/2006/relationships/hyperlink" Target="consultantplus://offline/ref=C4330CBAA61B032571E115875DCBAC7630E8E944CB6D1D62242F422C02BC77C02896219B954D196FC47553FA354AE330958593AFB2C9E6D5T038M" TargetMode = "External"/>
	<Relationship Id="rId14" Type="http://schemas.openxmlformats.org/officeDocument/2006/relationships/hyperlink" Target="consultantplus://offline/ref=C4330CBAA61B032571E115875DCBAC7637E3E942C8661D62242F422C02BC77C02896219B954F196BC07553FA354AE330958593AFB2C9E6D5T038M" TargetMode = "External"/>
	<Relationship Id="rId15" Type="http://schemas.openxmlformats.org/officeDocument/2006/relationships/hyperlink" Target="consultantplus://offline/ref=C4330CBAA61B032571E115875DCBAC7630E8E944CB6D1D62242F422C02BC77C02896219B954D196FC57553FA354AE330958593AFB2C9E6D5T038M" TargetMode = "External"/>
	<Relationship Id="rId16" Type="http://schemas.openxmlformats.org/officeDocument/2006/relationships/hyperlink" Target="consultantplus://offline/ref=C4330CBAA61B032571E115875DCBAC7630E8E944CB6D1D62242F422C02BC77C02896219B954D196FC37553FA354AE330958593AFB2C9E6D5T038M" TargetMode = "External"/>
	<Relationship Id="rId17" Type="http://schemas.openxmlformats.org/officeDocument/2006/relationships/hyperlink" Target="consultantplus://offline/ref=C4330CBAA61B032571E115875DCBAC7630E6E944CF671D62242F422C02BC77C02896219B954E1C6BC27553FA354AE330958593AFB2C9E6D5T038M" TargetMode = "External"/>
	<Relationship Id="rId18" Type="http://schemas.openxmlformats.org/officeDocument/2006/relationships/hyperlink" Target="consultantplus://offline/ref=C4330CBAA61B032571E115875DCBAC7637E3E942C8661D62242F422C02BC77C02896219B954F196BC17553FA354AE330958593AFB2C9E6D5T038M" TargetMode = "External"/>
	<Relationship Id="rId19" Type="http://schemas.openxmlformats.org/officeDocument/2006/relationships/hyperlink" Target="consultantplus://offline/ref=C4330CBAA61B032571E115875DCBAC7637E0E04DC96F1D62242F422C02BC77C02896219B954C196DC67553FA354AE330958593AFB2C9E6D5T038M" TargetMode = "External"/>
	<Relationship Id="rId20" Type="http://schemas.openxmlformats.org/officeDocument/2006/relationships/hyperlink" Target="consultantplus://offline/ref=C4330CBAA61B032571E115875DCBAC7637E3E942C8661D62242F422C02BC77C02896219B954F196BCF7553FA354AE330958593AFB2C9E6D5T038M" TargetMode = "External"/>
	<Relationship Id="rId21" Type="http://schemas.openxmlformats.org/officeDocument/2006/relationships/hyperlink" Target="consultantplus://offline/ref=C4330CBAA61B032571E115875DCBAC7637E3E942C8661D62242F422C02BC77C02896219B954F1968C47553FA354AE330958593AFB2C9E6D5T038M" TargetMode = "External"/>
	<Relationship Id="rId22" Type="http://schemas.openxmlformats.org/officeDocument/2006/relationships/hyperlink" Target="consultantplus://offline/ref=C4330CBAA61B032571E115875DCBAC7637E3E942C8661D62242F422C02BC77C02896219B954F1969C57553FA354AE330958593AFB2C9E6D5T038M" TargetMode = "External"/>
	<Relationship Id="rId23" Type="http://schemas.openxmlformats.org/officeDocument/2006/relationships/hyperlink" Target="consultantplus://offline/ref=C4330CBAA61B032571E115875DCBAC7637E3E942C8661D62242F422C02BC77C02896219B954F1969C37553FA354AE330958593AFB2C9E6D5T038M" TargetMode = "External"/>
	<Relationship Id="rId24" Type="http://schemas.openxmlformats.org/officeDocument/2006/relationships/hyperlink" Target="consultantplus://offline/ref=C4330CBAA61B032571E115875DCBAC7637E3E942C8661D62242F422C02BC77C02896219B954F1969C07553FA354AE330958593AFB2C9E6D5T038M" TargetMode = "External"/>
	<Relationship Id="rId25" Type="http://schemas.openxmlformats.org/officeDocument/2006/relationships/hyperlink" Target="consultantplus://offline/ref=C4330CBAA61B032571E115875DCBAC7637E3E942C8661D62242F422C02BC77C02896219B954F1969C17553FA354AE330958593AFB2C9E6D5T038M" TargetMode = "External"/>
	<Relationship Id="rId26" Type="http://schemas.openxmlformats.org/officeDocument/2006/relationships/hyperlink" Target="consultantplus://offline/ref=C4330CBAA61B032571E115875DCBAC7630E6E944CF671D62242F422C02BC77C02896219B954E1C6BC37553FA354AE330958593AFB2C9E6D5T038M" TargetMode = "External"/>
	<Relationship Id="rId27" Type="http://schemas.openxmlformats.org/officeDocument/2006/relationships/hyperlink" Target="consultantplus://offline/ref=C4330CBAA61B032571E115875DCBAC7637E2E240C9691D62242F422C02BC77C03A967997944A076FC46005AB73T13DM" TargetMode = "External"/>
	<Relationship Id="rId28" Type="http://schemas.openxmlformats.org/officeDocument/2006/relationships/hyperlink" Target="consultantplus://offline/ref=C4330CBAA61B032571E115875DCBAC7637E3E942C8661D62242F422C02BC77C02896219B954F1968C77553FA354AE330958593AFB2C9E6D5T038M" TargetMode = "External"/>
	<Relationship Id="rId29" Type="http://schemas.openxmlformats.org/officeDocument/2006/relationships/hyperlink" Target="consultantplus://offline/ref=C4330CBAA61B032571E115875DCBAC7637E3E942C8661D62242F422C02BC77C02896219B954F1968C77553FA354AE330958593AFB2C9E6D5T038M" TargetMode = "External"/>
	<Relationship Id="rId30" Type="http://schemas.openxmlformats.org/officeDocument/2006/relationships/hyperlink" Target="consultantplus://offline/ref=C4330CBAA61B032571E115875DCBAC7630E6E944CF671D62242F422C02BC77C02896219B954E1C6BC07553FA354AE330958593AFB2C9E6D5T038M" TargetMode = "External"/>
	<Relationship Id="rId31" Type="http://schemas.openxmlformats.org/officeDocument/2006/relationships/hyperlink" Target="consultantplus://offline/ref=C4330CBAA61B032571E115875DCBAC7637E3E942C8661D62242F422C02BC77C02896219B954F1968C77553FA354AE330958593AFB2C9E6D5T038M" TargetMode = "External"/>
	<Relationship Id="rId32" Type="http://schemas.openxmlformats.org/officeDocument/2006/relationships/hyperlink" Target="consultantplus://offline/ref=C4330CBAA61B032571E115875DCBAC7637E3E942C8661D62242F422C02BC77C02896219B954F1968C77553FA354AE330958593AFB2C9E6D5T038M" TargetMode = "External"/>
	<Relationship Id="rId33" Type="http://schemas.openxmlformats.org/officeDocument/2006/relationships/hyperlink" Target="consultantplus://offline/ref=C4330CBAA61B032571E115875DCBAC7637E3E340C96D1D62242F422C02BC77C0289621999C4C123A973A52A67019F030918590ADAETC39M" TargetMode = "External"/>
	<Relationship Id="rId34" Type="http://schemas.openxmlformats.org/officeDocument/2006/relationships/hyperlink" Target="consultantplus://offline/ref=C4330CBAA61B032571E115875DCBAC7637E2E240C9691D62242F422C02BC77C03A967997944A076FC46005AB73T13DM" TargetMode = "External"/>
	<Relationship Id="rId35" Type="http://schemas.openxmlformats.org/officeDocument/2006/relationships/hyperlink" Target="consultantplus://offline/ref=C4330CBAA61B032571E115875DCBAC7637E3E942C8661D62242F422C02BC77C02896219B954F186DCE7553FA354AE330958593AFB2C9E6D5T038M" TargetMode = "External"/>
	<Relationship Id="rId36" Type="http://schemas.openxmlformats.org/officeDocument/2006/relationships/hyperlink" Target="consultantplus://offline/ref=C4330CBAA61B032571E115875DCBAC7637E2E04CC2671D62242F422C02BC77C03A967997944A076FC46005AB73T13DM" TargetMode = "External"/>
	<Relationship Id="rId37" Type="http://schemas.openxmlformats.org/officeDocument/2006/relationships/hyperlink" Target="consultantplus://offline/ref=C4330CBAA61B032571E115875DCBAC7630E8E944CB6D1D62242F422C02BC77C02896219B954D196FC07553FA354AE330958593AFB2C9E6D5T038M" TargetMode = "External"/>
	<Relationship Id="rId38" Type="http://schemas.openxmlformats.org/officeDocument/2006/relationships/hyperlink" Target="consultantplus://offline/ref=C4330CBAA61B032571E115875DCBAC7637E3E942C8661D62242F422C02BC77C02896219B954F186AC37553FA354AE330958593AFB2C9E6D5T038M" TargetMode = "External"/>
	<Relationship Id="rId39" Type="http://schemas.openxmlformats.org/officeDocument/2006/relationships/hyperlink" Target="consultantplus://offline/ref=C4330CBAA61B032571E115875DCBAC7637E3E942C8661D62242F422C02BC77C02896219B954F186AC37553FA354AE330958593AFB2C9E6D5T038M" TargetMode = "External"/>
	<Relationship Id="rId40" Type="http://schemas.openxmlformats.org/officeDocument/2006/relationships/hyperlink" Target="consultantplus://offline/ref=C4330CBAA61B032571E115875DCBAC7637E2E240C9691D62242F422C02BC77C02896219B954C116EC57553FA354AE330958593AFB2C9E6D5T038M" TargetMode = "External"/>
	<Relationship Id="rId41" Type="http://schemas.openxmlformats.org/officeDocument/2006/relationships/hyperlink" Target="consultantplus://offline/ref=C4330CBAA61B032571E115875DCBAC7637E3E942C8661D62242F422C02BC77C02896219B954F186AC07553FA354AE330958593AFB2C9E6D5T038M" TargetMode = "External"/>
	<Relationship Id="rId42" Type="http://schemas.openxmlformats.org/officeDocument/2006/relationships/hyperlink" Target="consultantplus://offline/ref=C4330CBAA61B032571E115875DCBAC7632E2E44DC3691D62242F422C02BC77C02896219B954C196FC67553FA354AE330958593AFB2C9E6D5T038M" TargetMode = "External"/>
	<Relationship Id="rId43" Type="http://schemas.openxmlformats.org/officeDocument/2006/relationships/hyperlink" Target="consultantplus://offline/ref=C4330CBAA61B032571E115875DCBAC7632E2E44DC3691D62242F422C02BC77C02896219B954C1966C17553FA354AE330958593AFB2C9E6D5T038M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22.04.2014 N 392
(ред. от 01.09.2022)
"Об утверждении федерального государственного образовательного стандарта среднего профессионального образования по специальности 25.02.03 Техническая эксплуатация электрифицированных и пилотажно-навигационных комплексов"
(Зарегистрировано в Минюсте России 27.06.2014 N 32899)</dc:title>
  <dcterms:created xsi:type="dcterms:W3CDTF">2022-12-16T12:55:19Z</dcterms:created>
</cp:coreProperties>
</file>