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Минпросвещения России от 12.09.2022 N 824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профессии 21.01.02 Оператор по ремонту скважин"</w:t>
              <w:br/>
              <w:t xml:space="preserve">(Зарегистрировано в Минюсте России 07.10.2022 N 70419)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  <w:jc w:val="both"/>
      </w:pPr>
      <w:r>
        <w:rPr>
          <w:sz w:val="20"/>
        </w:rPr>
        <w:t xml:space="preserve">Зарегистрировано в Минюсте России 7 октября 2022 г. N 70419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ПРОСВЕЩЕНИЯ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12 сентября 2022 г. N 824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21.01.02 ОПЕРАТОР ПО РЕМОНТУ СКВАЖИН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РФ от 28.07.2018 N 884 (ред. от 10.11.2022) &quot;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подпунктом 4.2.30 пункта 4</w:t>
        </w:r>
      </w:hyperlink>
      <w:r>
        <w:rPr>
          <w:sz w:val="20"/>
        </w:rP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и </w:t>
      </w:r>
      <w:hyperlink w:history="0" r:id="rId8" w:tooltip="Постановление Правительства РФ от 12.04.2019 N 434 (ред. от 22.10.2021) &quot;Об утверждении Правил разработки, утверждения федеральных государственных образовательных стандартов и внесения в них изменений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пунктом 27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4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профессии 21.01.02 Оператор по ремонту скважин (далее - стандарт).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Установить, что: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вправе осуществлять в соответствии со </w:t>
      </w:r>
      <w:hyperlink w:history="0" w:anchor="P34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обучение лиц, зачисленных до вступления в силу настоящего приказа, с их согласия;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прием на обучение в соответствии с федеральным государственным образовательным </w:t>
      </w:r>
      <w:hyperlink w:history="0" r:id="rId9" w:tooltip="Приказ Минобрнауки России от 02.08.2013 N 706 (ред. от 13.07.2021) &quot;Об утверждении федерального государственного образовательного стандарта среднего профессионального образования по профессии 131003.02 Оператор по ремонту скважин&quot; (Зарегистрировано в Минюсте России 20.08.2013 N 29650) {КонсультантПлюс}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среднего профессионального образования по профессии </w:t>
      </w:r>
      <w:hyperlink w:history="0" r:id="rId10" w:tooltip="Приказ Минобрнауки РФ от 28.09.2009 N 354 (ред. от 21.02.2012) &quot;Об утверждении Перечня профессий начального профессионального образования&quot; (Зарегистрировано в Минюсте РФ 22.10.2009 N 15083) ------------ Утратил силу или отменен {КонсультантПлюс}">
        <w:r>
          <w:rPr>
            <w:sz w:val="20"/>
            <w:color w:val="0000ff"/>
          </w:rPr>
          <w:t xml:space="preserve">131003.02</w:t>
        </w:r>
      </w:hyperlink>
      <w:r>
        <w:rPr>
          <w:sz w:val="20"/>
        </w:rPr>
        <w:t xml:space="preserve"> Оператор по ремонту скважин, утвержденным приказом Министерства образования и науки Российской Федерации от 2 августа 2013 г. N 706 (зарегистрирован Министерством юстиции Российской Федерации 20 августа 2013 г., регистрационный N 29650), с изменениями, внесенными приказом Министерства образования и науки Российской Федерации от 9 апреля 2015 г. N 389 (зарегистрирован Министерством юстиции Российской Федерации 8 мая 2015 г., регистрационный N 37216) и приказом Министерства просвещения Российской Федерации от 13 июля 2021 г. N 450 (зарегистрирован Министерством юстиции Российской Федерации 14 октября 2021 г., регистрационный N 65410), прекращается с 31 декабря 2022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С.С.КРАВЦОВ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просвещения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12 сентября 2022 г. N 824</w:t>
      </w:r>
    </w:p>
    <w:p>
      <w:pPr>
        <w:pStyle w:val="0"/>
        <w:jc w:val="both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21.01.02 ОПЕРАТОР ПО РЕМОНТУ СКВАЖИН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bookmarkStart w:id="40" w:name="P40"/>
    <w:bookmarkEnd w:id="40"/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квалифицированных рабочих, служащих по профессии </w:t>
      </w:r>
      <w:hyperlink w:history="0" r:id="rId11" w:tooltip="Приказ Минпросвещения России от 17.05.2022 N 336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 {КонсультантПлюс}">
        <w:r>
          <w:rPr>
            <w:sz w:val="20"/>
            <w:color w:val="0000ff"/>
          </w:rPr>
          <w:t xml:space="preserve">21.01.02</w:t>
        </w:r>
      </w:hyperlink>
      <w:r>
        <w:rPr>
          <w:sz w:val="20"/>
        </w:rPr>
        <w:t xml:space="preserve"> Оператор по ремонту скважин (далее соответственно - ФГОС СПО, образовательная программа, профессия) в соответствии с квалификацией квалифицированного рабочего, служащего "оператор по ремонту скважин"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2" w:tooltip="Приказ Минпросвещения России от 17.05.2022 N 336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профессий среднего профессионального образования, утвержденный приказом Министерства просвещения Российской Федерации от 17 мая 2022 г. N 336 (зарегистрирован Министерством юстиции Российской Федерации 17 июня 2022 г., регистрационный N 68887).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1.2. Получение образования по профессии допускается только в профессиональной образовательной организации или образовательной организации высшего образования (далее вместе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</w:t>
      </w:r>
      <w:hyperlink w:history="0" r:id="rId13" w:tooltip="Приказ Минобрнауки России от 17.05.2012 N 413 (ред. от 12.08.2022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<w:r>
          <w:rPr>
            <w:sz w:val="20"/>
            <w:color w:val="0000ff"/>
          </w:rPr>
          <w:t xml:space="preserve">стандарта</w:t>
        </w:r>
      </w:hyperlink>
      <w:r>
        <w:rPr>
          <w:sz w:val="20"/>
        </w:rPr>
        <w:t xml:space="preserve"> среднего общего образования &lt;2&gt; и ФГОС СПО с учетом получаемой профессии.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Федеральный государственный образовательный </w:t>
      </w:r>
      <w:hyperlink w:history="0" r:id="rId14" w:tooltip="Приказ Минобрнауки России от 17.05.2012 N 413 (ред. от 12.08.2022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общего образования, утвержденный приказом Министерства образования и науки Российской Федерации от 17 мая 2012 г. N 413 (зарегистрирован Министерством юстиции Российской Федерации 7 июня 2012 г., регистрационный N 24480), с изменениями, внесенными приказами Министерства образования и науки Российской Федерации от 29 декабря 2014 г. N 1645 (зарегистрирован Министерством юстиции Российской Федерации 9 февраля 2015 г., регистрационный N 35953), от 31 декабря 2015 г. N 1578 (зарегистрирован Министерством юстиции Российской Федерации 9 февраля 2016 г., регистрационный N 41020), от 29 июня 2017 г. N 613 (зарегистрирован Министерством юстиции Российской Федерации 26 июля 2017 г., регистрационный N 47532), приказами Министерства просвещения Российской Федерации от 24 сентября 2020 г. N 519 (зарегистрирован Министерством юстиции Российской Федерации 23 декабря 2020 г., регистрационный N 61749) и от 11 декабря 2020 г. N 712 (зарегистрирован Министерством юстиции Российской Федерации 25 декабря 2020 г., регистрационный N 61828).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1.4. Обучение по образовательной программе в образовательной организации осуществляется в очной, очно-заочной и заочной формах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Реализация образовательной программы осуществляется образовательной организацией как самостоятельно, так и посредством сетевой формы.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соответствующую примерную основную образовательную программу, включенную в реестр примерных основных образовательных программ (далее - ПООП) примерной рабочей программы воспитания и примерного календарного плана воспитательной работы &lt;3&gt;.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</w:t>
      </w:r>
      <w:hyperlink w:history="0" r:id="rId15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2 статьи 12.1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31, ст. 5063).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1.8. Образовательная программа реализуется на государственном языке Российской Федерации, если иное не определено локальным нормативным актом образовательной организации &lt;4&gt;.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</w:t>
      </w:r>
      <w:hyperlink w:history="0" r:id="rId16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Статья 14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>
      <w:pPr>
        <w:pStyle w:val="0"/>
        <w:jc w:val="both"/>
      </w:pPr>
      <w:r>
        <w:rPr>
          <w:sz w:val="20"/>
        </w:rPr>
      </w:r>
    </w:p>
    <w:bookmarkStart w:id="62" w:name="P62"/>
    <w:bookmarkEnd w:id="62"/>
    <w:p>
      <w:pPr>
        <w:pStyle w:val="0"/>
        <w:ind w:firstLine="540"/>
        <w:jc w:val="both"/>
      </w:pPr>
      <w:r>
        <w:rPr>
          <w:sz w:val="20"/>
        </w:rPr>
        <w:t xml:space="preserve">1.9. Срок получения образования по образовательной программе в очной форме обучения, вне зависимости от применяемых образовательных технологий, составляет: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- 1 год 10 месяцев;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- 2 года 10 месяцев.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получения образования по образовательной программе в очно-заочной и заочной формах обучения, вне зависимости от применяемых образовательных технологий, увеличивается по сравнению со сроком получения образования в очной форме обучения не более чем на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1.10. При обучении по индивидуальному учебному плану срок получения образования по образовательной программе, вне зависимости от формы обучения, составляет не более срока получения образования, установленного для соответствующей формы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1.11. Конкретный срок получения образования в очно-заочной и заочной формах обучения, а также по индивидуальному учебному плану, в том числе при ускоренном обучении, определяются образовательной организацией самостоятельно в пределах сроков, установленных </w:t>
      </w:r>
      <w:hyperlink w:history="0" w:anchor="P62" w:tooltip="1.9. Срок получения образования по образовательной программе в очной форме обучения, вне зависимости от применяемых образовательных технологий, составляет:">
        <w:r>
          <w:rPr>
            <w:sz w:val="20"/>
            <w:color w:val="0000ff"/>
          </w:rPr>
          <w:t xml:space="preserve">пунктом 1.9</w:t>
        </w:r>
      </w:hyperlink>
      <w:r>
        <w:rPr>
          <w:sz w:val="20"/>
        </w:rPr>
        <w:t xml:space="preserve">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1.12. Для определения объема образовательной программы образовательной организацией может быть применена система зачетных единиц, при этом одна зачетная единица соответствует 32 - 36 академическим часам.</w:t>
      </w:r>
    </w:p>
    <w:bookmarkStart w:id="70" w:name="P70"/>
    <w:bookmarkEnd w:id="7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1.13.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</w:t>
      </w:r>
      <w:hyperlink w:history="0" r:id="rId17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19</w:t>
        </w:r>
      </w:hyperlink>
      <w:r>
        <w:rPr>
          <w:sz w:val="20"/>
        </w:rPr>
        <w:t xml:space="preserve"> Добыча, переработка, транспортировка нефти и газа &lt;5&gt;.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</w:t>
      </w:r>
      <w:hyperlink w:history="0" r:id="rId18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Таблица</w:t>
        </w:r>
      </w:hyperlink>
      <w:r>
        <w:rPr>
          <w:sz w:val="20"/>
        </w:rP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1.14. При разработке образовательной программы организация устанавливает направленность, которая конкретизирует содержание программы путем ориентации на виды деятельности, с учетом соответствующей ПООП.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ТРЕБОВАНИЯ К СТРУКТУРЕ 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Структура и объем образовательной программы </w:t>
      </w:r>
      <w:hyperlink w:history="0" w:anchor="P86" w:tooltip="Структура и объем образовательной программы">
        <w:r>
          <w:rPr>
            <w:sz w:val="20"/>
            <w:color w:val="0000ff"/>
          </w:rPr>
          <w:t xml:space="preserve">(таблица N 1)</w:t>
        </w:r>
      </w:hyperlink>
      <w:r>
        <w:rPr>
          <w:sz w:val="20"/>
        </w:rPr>
        <w:t xml:space="preserve"> включает: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дисциплины (модули);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практику;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государственную итоговую аттестацию.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N 1</w:t>
      </w:r>
    </w:p>
    <w:p>
      <w:pPr>
        <w:pStyle w:val="0"/>
        <w:jc w:val="both"/>
      </w:pPr>
      <w:r>
        <w:rPr>
          <w:sz w:val="20"/>
        </w:rPr>
      </w:r>
    </w:p>
    <w:bookmarkStart w:id="86" w:name="P86"/>
    <w:bookmarkEnd w:id="86"/>
    <w:p>
      <w:pPr>
        <w:pStyle w:val="0"/>
        <w:jc w:val="center"/>
      </w:pPr>
      <w:r>
        <w:rPr>
          <w:sz w:val="20"/>
        </w:rPr>
        <w:t xml:space="preserve">Структура и объем 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762"/>
        <w:gridCol w:w="4308"/>
      </w:tblGrid>
      <w:tr>
        <w:tc>
          <w:tcPr>
            <w:tcW w:w="47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Структура образовательной программы</w:t>
            </w:r>
          </w:p>
        </w:tc>
        <w:tc>
          <w:tcPr>
            <w:tcW w:w="43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образовательной программы, в академических часах</w:t>
            </w:r>
          </w:p>
        </w:tc>
      </w:tr>
      <w:tr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Дисциплины (модули)</w:t>
            </w:r>
          </w:p>
        </w:tc>
        <w:tc>
          <w:tcPr>
            <w:tcW w:w="43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1260</w:t>
            </w:r>
          </w:p>
        </w:tc>
      </w:tr>
      <w:tr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Практика</w:t>
            </w:r>
          </w:p>
        </w:tc>
        <w:tc>
          <w:tcPr>
            <w:tcW w:w="43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1044</w:t>
            </w:r>
          </w:p>
        </w:tc>
      </w:tr>
      <w:tr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43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</w:tr>
      <w:tr>
        <w:tc>
          <w:tcPr>
            <w:gridSpan w:val="2"/>
            <w:tcW w:w="90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Общий объем образовательной программы:</w:t>
            </w:r>
          </w:p>
        </w:tc>
      </w:tr>
      <w:tr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на базе среднего общего образования</w:t>
            </w:r>
          </w:p>
        </w:tc>
        <w:tc>
          <w:tcPr>
            <w:tcW w:w="43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2952</w:t>
            </w:r>
          </w:p>
        </w:tc>
      </w:tr>
      <w:tr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43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4428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2.2. Образовательная программа включает: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социально-гуманитарный цикл;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цикл;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цикл.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В рамках образовательной программы выделяются обязательная часть и часть, формируемая участниками образовательных отношений (вариативная часть).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образовательной программы направлена на формирование общих и профессиональных компетенций, предусмотренных </w:t>
      </w:r>
      <w:hyperlink w:history="0" w:anchor="P133" w:tooltip="III. ТРЕБОВАНИЯ К РЕЗУЛЬТАТАМ ОСВОЕНИЯ">
        <w:r>
          <w:rPr>
            <w:sz w:val="20"/>
            <w:color w:val="0000ff"/>
          </w:rPr>
          <w:t xml:space="preserve">главой III</w:t>
        </w:r>
      </w:hyperlink>
      <w:r>
        <w:rPr>
          <w:sz w:val="20"/>
        </w:rPr>
        <w:t xml:space="preserve">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Объем обязательной части без учета объема государственной итоговой аттестации должен составлять не более 80 процентов от общего объема времени, отведенного на освоение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Вариативная часть образовательной программы объемом не менее 20 процентов от общего объема времени, отведенного на освоение образовательной программы, дает возможность дальнейшего развития общих и профессиональных компетенций, в том числе за счет расширения основных видов деятельности, введения дополнительных видов деятельности, а также профессиональных компетенций, необходимых для обеспечения конкурентоспособности выпускника в соответствии с потребностями регионального рынка труда, а также с учетом требований цифровой экономики.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Конкретное соотношение обязательной и вариативной части образовательной программы, объемные параметры циклов и практики образовательная организация определяет самостоятельно в соответствии с требованиями настоящего пункта, а также с учетом ПООП.</w:t>
      </w:r>
    </w:p>
    <w:bookmarkStart w:id="111" w:name="P111"/>
    <w:bookmarkEnd w:id="11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Образовательная программа разрабатывается образовательной организацией в соответствии с ФГОС СПО и с учетом соответствующей ПООП и предполагает освоение следующих видов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работ по подготовке скважин к проведению текущего (подземного) ремонта;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работ по проведению текущего (подземного) ремонта скважин I, II категории сложности;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подготовительных работ при проведении реконструкции и капитального ремонта нефтяных и газовых скважин;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работ по организации и ведению технологического процесса капитального ремонта I, II категории сложности нефтяных и газовых скважин;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ведение процесса гидравлического разрыва пласта и гидропескоструйной перфорации (по выбору);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работы подъемного агрегата в процессе капитального, текущего ремонта, реконструкции и освоения нефтяных и газовых скважин (по выбору).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Образовательная организация при необходимости самостоятельно формирует виды деятельности в дополнение к видам деятельности, указанным в </w:t>
      </w:r>
      <w:hyperlink w:history="0" w:anchor="P111" w:tooltip="2.4. Образовательная программа разрабатывается образовательной организацией в соответствии с ФГОС СПО и с учетом соответствующей ПООП и предполагает освоение следующих видов деятельности:">
        <w:r>
          <w:rPr>
            <w:sz w:val="20"/>
            <w:color w:val="0000ff"/>
          </w:rPr>
          <w:t xml:space="preserve">пункте 2.4</w:t>
        </w:r>
      </w:hyperlink>
      <w:r>
        <w:rPr>
          <w:sz w:val="20"/>
        </w:rPr>
        <w:t xml:space="preserve"> ФГОС СПО, в рамках вариативной части.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При освоении социально-гуманитарного, общепрофессионального и профессионального циклов (далее - учебные циклы) выделяется объем учебных занятий, практики (в профессиональном цикле) и самостоятельной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проведение учебных занятий и практики должно быть выделено не менее 70 процентов от объема учебных циклов образовательной программы в очной форме обучения, не менее 25 процентов - в очно-заочной форме обучения и не менее 10 процентов - в заочной форме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учебные циклы включается промежуточная аттестация обучающихся, которая осуществляется в рамках освоения указанных циклов в соответствии с формой, определяемой образовательной организацией, и оценочными материалами, позволяющими оценить достижение запланированных по отдельным дисциплинам (модулям) и практикам результатов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Обязательная часть социально-гуманитарного цикла образовательной программы должна предусматривать изучение следующих дисциплин: "История России", "Иностранный язык в профессиональной деятельности", "Безопасность жизнедеятельности", "Физическая культура", "Основы финансовой грамотности", "Основы бережливого производства".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объем дисциплины "Безопасность жизнедеятельности" в очной форме обучения не может быть менее 36 академических часов, из них на освоение основ военной службы (для юношей) - не менее 24 академических часов; для подгрупп девушек это время может быть использовано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Дисциплина "Физическая культура" должна способствовать формированию физической культуры выпускника и способности направленного использования средств физической культуры и спорта для сохранения и укрепления здоровья, психофизической подготовке к профессиональной деятельности, предупреждению профессиональных заболеваний.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Обязательная часть общепрофессионального цикла образовательной программы должна предусматривать изучение следующих дисциплин: "Техническое черчение", "Информационные технологии в профессиональной деятельности", "Основы технической механики и слесарных работ", "Охрана труда в нефтяной и газовой промышленности", "Пожарная безопасность в нефтяной и газовой промышленности", "Основы промышленной безопасности в нефтегазовой отрасли", "Экологические аспекты нефтегазовой отрасли".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Профессиональный цикл образовательной программы включает профессиональные модули, которые формируются в соответствии с видами деятельности, предусмотренными </w:t>
      </w:r>
      <w:hyperlink w:history="0" w:anchor="P111" w:tooltip="2.4. Образовательная программа разрабатывается образовательной организацией в соответствии с ФГОС СПО и с учетом соответствующей ПООП и предполагает освоение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а также дополнительными видами деятельности, сформированными образовательными организациями самостоятельно. В состав профессионального модуля входит один или несколько междисциплинарных курсов, которые устанавливаются образовательной организацией самостоятельно с учетом ПООП. Объем профессионального модуля составляет не менее 8 зачетных единиц.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Практика входит в профессиональный цикл и имеет следующие виды - учебная практика и производственная практика, которые реализуются в форме практической подготовки. Учебная и производственная практики реализуются как в несколько периодов, так и рассредоточенно, чередуясь с учебными занятиями. Типы практики устанавливаются образовательной организацией самостоятельно с учетом ПООП.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Образовательная организация должна предоставлять инвалидам и лицам с ограниченными возможностями здоровья (по их заявлению) возможность обучения по образовательной программе,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Государственная итоговая аттестация проводится в форме демонстрационного экзамена.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 Государственная итоговая аттестация завершается присвоением квалификации квалифицированного рабочего, служащего, указанной в </w:t>
      </w:r>
      <w:hyperlink w:history="0" w:anchor="P40" w:tooltip="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квалифицированных рабочих, служащих по профессии 21.01.02 Оператор по ремонту скважин (далее соответственно - ФГОС СПО, образовательная программа, профессия) в соответствии с квалификацией квалифицированного рабочего, служащего &quot;оператор по ремо...">
        <w:r>
          <w:rPr>
            <w:sz w:val="20"/>
            <w:color w:val="0000ff"/>
          </w:rPr>
          <w:t xml:space="preserve">пункте 1.1</w:t>
        </w:r>
      </w:hyperlink>
      <w:r>
        <w:rPr>
          <w:sz w:val="20"/>
        </w:rPr>
        <w:t xml:space="preserve"> ФГОС СПО.</w:t>
      </w:r>
    </w:p>
    <w:p>
      <w:pPr>
        <w:pStyle w:val="0"/>
        <w:jc w:val="both"/>
      </w:pPr>
      <w:r>
        <w:rPr>
          <w:sz w:val="20"/>
        </w:rPr>
      </w:r>
    </w:p>
    <w:bookmarkStart w:id="133" w:name="P133"/>
    <w:bookmarkEnd w:id="133"/>
    <w:p>
      <w:pPr>
        <w:pStyle w:val="2"/>
        <w:outlineLvl w:val="1"/>
        <w:jc w:val="center"/>
      </w:pPr>
      <w:r>
        <w:rPr>
          <w:sz w:val="20"/>
        </w:rPr>
        <w:t xml:space="preserve">III. ТРЕБОВАНИЯ К РЕЗУЛЬТАТАМ ОСВОЕНИЯ</w:t>
      </w:r>
    </w:p>
    <w:p>
      <w:pPr>
        <w:pStyle w:val="2"/>
        <w:jc w:val="center"/>
      </w:pPr>
      <w:r>
        <w:rPr>
          <w:sz w:val="20"/>
        </w:rPr>
        <w:t xml:space="preserve">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В результате освоения образовательной программы у выпускника должны быть сформированы общие и профессиональные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Выпускник, освоивший образовательную программу, должен обладать следующими общими компетенциями (далее - ОК):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01. Выбирать способы решения задач профессиональной деятельности применительно к различным контекстам;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04. Эффективно взаимодействовать и работать в коллективе и команде;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09. Пользоваться профессиональной документацией на государственном и иностранном языках.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Выпускник, освоивший образовательную программу, должен обладать профессиональными компетенциями (далее - ПК), соответствующими выбранным видам деятельности </w:t>
      </w:r>
      <w:hyperlink w:history="0" w:anchor="P149" w:tooltip="Таблица N 2">
        <w:r>
          <w:rPr>
            <w:sz w:val="20"/>
            <w:color w:val="0000ff"/>
          </w:rPr>
          <w:t xml:space="preserve">(таблица N 2)</w:t>
        </w:r>
      </w:hyperlink>
      <w:r>
        <w:rPr>
          <w:sz w:val="20"/>
        </w:rPr>
        <w:t xml:space="preserve">, предусмотренным </w:t>
      </w:r>
      <w:hyperlink w:history="0" w:anchor="P111" w:tooltip="2.4. Образовательная программа разрабатывается образовательной организацией в соответствии с ФГОС СПО и с учетом соответствующей ПООП и предполагает освоение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сформированными в том числе на основе профессиональных стандартов (при наличии), указанных в ПООП:</w:t>
      </w:r>
    </w:p>
    <w:p>
      <w:pPr>
        <w:pStyle w:val="0"/>
        <w:jc w:val="both"/>
      </w:pPr>
      <w:r>
        <w:rPr>
          <w:sz w:val="20"/>
        </w:rPr>
      </w:r>
    </w:p>
    <w:bookmarkStart w:id="149" w:name="P149"/>
    <w:bookmarkEnd w:id="149"/>
    <w:p>
      <w:pPr>
        <w:pStyle w:val="0"/>
        <w:jc w:val="right"/>
      </w:pPr>
      <w:r>
        <w:rPr>
          <w:sz w:val="20"/>
        </w:rPr>
        <w:t xml:space="preserve">Таблица N 2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004"/>
        <w:gridCol w:w="6066"/>
      </w:tblGrid>
      <w:tr>
        <w:tc>
          <w:tcPr>
            <w:tcW w:w="30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Виды деятельности</w:t>
            </w:r>
          </w:p>
        </w:tc>
        <w:tc>
          <w:tcPr>
            <w:tcW w:w="60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Профессиональные компетенции, соответствующие видам деятельности</w:t>
            </w:r>
          </w:p>
        </w:tc>
      </w:tr>
      <w:tr>
        <w:tc>
          <w:tcPr>
            <w:tcW w:w="30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0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30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выполнение работ по подготовке скважин к проведению текущего (подземного) ремонта</w:t>
            </w:r>
          </w:p>
        </w:tc>
        <w:tc>
          <w:tcPr>
            <w:tcW w:w="606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1.1. Выполнять работы по обустройству площадки проведения ремонта скважин.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1.2. Проводить замещение скважинной жидкости, промывки скважины.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1.3. Выполнять передислокацию оборудования для ремонта скважин.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1.4. Осуществлять подготовку устья скважины к проведению ремонтных работ.</w:t>
            </w:r>
          </w:p>
        </w:tc>
      </w:tr>
      <w:tr>
        <w:tc>
          <w:tcPr>
            <w:tcW w:w="30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выполнение работ по проведению текущего (подземного) ремонта скважин I, II категории сложности</w:t>
            </w:r>
          </w:p>
        </w:tc>
        <w:tc>
          <w:tcPr>
            <w:tcW w:w="606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2.1. Выполнять мероприятий по подготовке, содержанию оборудования и инструментов для ремонта скважин и уходу за оборудованием и инструментами.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2.2. Проводить работы по текущему (подземному) ремонту скважины.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2.3. Проводить операции по промывке и обработке скважины.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2.4. Проводить работы по подготовке скважины к освоению и проведению прострелочных и геофизических исследований.</w:t>
            </w:r>
          </w:p>
        </w:tc>
      </w:tr>
      <w:tr>
        <w:tc>
          <w:tcPr>
            <w:tcW w:w="30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выполнение подготовительных работ при проведении реконструкции и капитального ремонта нефтяных и газовых скважин</w:t>
            </w:r>
          </w:p>
        </w:tc>
        <w:tc>
          <w:tcPr>
            <w:tcW w:w="606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3.1. Проводить подготовительные работы перед глушением скважин.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3.2. Проводить кислотную обработку скважин.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3.3. Проводить спуско-подъемные операции.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3.4. Проводить ловильные работы.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3.5. Проводить ремонтно-изоляционные работы.</w:t>
            </w:r>
          </w:p>
        </w:tc>
      </w:tr>
      <w:tr>
        <w:tc>
          <w:tcPr>
            <w:tcW w:w="30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выполнение работ по организации и ведению технологического процесса капитального ремонта I, II категории сложности нефтяных и газовых скважин</w:t>
            </w:r>
          </w:p>
        </w:tc>
        <w:tc>
          <w:tcPr>
            <w:tcW w:w="606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4.1. Проверять техническое состояние оборудования перед проведением капитального ремонта.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4.2. Осуществлять расстановку оборудования для проведения капитального ремонта скважин.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4.3. Проводить глушение скважин в процессе капитального ремонта скважин.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4.4. Осуществлять демонтаж и монтаж устьевого оборудования скважин.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4.5. Осуществлять монтаж и демонтаж противовыбросового оборудования при проведении капитального ремонта скважин.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4.6. Проводить капитальный ремонт скважин.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4.7. Осуществлять подготовку комплекса оборудования для проведения капитального ремонта скважин к передислокации.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4.8. Ликвидировать осложнения и аварии в процессе капитального ремонта скважин.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4.9. Планировать ход работ и действий состава вахты в процессе капитального ремонта скважин.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4.10. Координировать действия состава вахты в процессе капитального ремонта скважин.</w:t>
            </w:r>
          </w:p>
        </w:tc>
      </w:tr>
      <w:tr>
        <w:tc>
          <w:tcPr>
            <w:tcW w:w="30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ведение процесса гидравлического разрыва пласта и гидропескоструйной перфорации (по выбору)</w:t>
            </w:r>
          </w:p>
        </w:tc>
        <w:tc>
          <w:tcPr>
            <w:tcW w:w="606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5.1. Осуществлять подготовку оборудования к проведению гидроразрыва пласта.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5.2. Выполнять работы по проведению гидравлического разрыва пласта.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5.3. Проводить работы по установке приборов на устье скважины и контролю объема, подачи закачиваемой жидкости в пласт.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5.4. Осуществлять подготовку оборудования к проведению гидропескоструйной перфорации.</w:t>
            </w:r>
          </w:p>
        </w:tc>
      </w:tr>
      <w:tr>
        <w:tc>
          <w:tcPr>
            <w:tcW w:w="30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работы подъемного агрегата в процессе капитального, текущего ремонта, реконструкции и освоения нефтяных и газовых скважин (по выбору)</w:t>
            </w:r>
          </w:p>
        </w:tc>
        <w:tc>
          <w:tcPr>
            <w:tcW w:w="606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5.1. Проводить техническое обслуживание подъемного агрегата.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5.2. Осуществлять установку подъемного агрегата на устье скважины.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5.3. Осуществлять монтаж и демонтаж оснастки талевой системы подъемного агрегата.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5.4. Управлять подъемным агрегатом при проведении спуско-подъемных операций.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5.5. Проводить работы по монтажу и демонтажу подъемного агрегата.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5.6. Выполнять ремонт подъемного агрегата в процессе проведения капитального, текущего ремонта, реконструкции и освоения нефтяных и газовых скважин.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3.4. Образовательная организация при необходимости самостоятельно включает в образовательную программу дополнительные профессиональные компетенции по видам деятельности, установленным в соответствии с </w:t>
      </w:r>
      <w:hyperlink w:history="0" w:anchor="P111" w:tooltip="2.4. Образовательная программа разрабатывается образовательной организацией в соответствии с ФГОС СПО и с учетом соответствующей ПООП и предполагает освоение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а также по видам деятельности, сформированным в вариативной части образовательной программы для учета потребностей регионального рынка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при необходимости вводит в вариативную часть учебных циклов образовательной программы модуль по освоению компетенций цифровой экономики, соответствующих одному или нескольким видам деятельности, осваиваемым в рамках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Образовательная организация с учетом ПООП самостоятельно планирует результаты обучения по отдельным дисциплинам (модулям) и практикам, которые должны быть соотнесены с требуемыми результатами освоения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Совокупность запланированных результатов обучения по дисциплинам (модулям) и практикам должна обеспечивать выпускнику освоение всех компетенций, установленных образовательной программой.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Обучающиеся, осваивающие образовательную программу, осваивают профессию рабочего, должность служащего (одну или несколько) в соответствии с </w:t>
      </w:r>
      <w:hyperlink w:history="0" r:id="rId19" w:tooltip="Приказ Минобрнауки России от 02.07.2013 N 513 (ред. от 01.06.2021) &quot;Об утверждении Перечня профессий рабочих, должностей служащих, по которым осуществляется профессиональное обучение&quot; (Зарегистрировано в Минюсте России 08.08.2013 N 29322) {КонсультантПлюс}">
        <w:r>
          <w:rPr>
            <w:sz w:val="20"/>
            <w:color w:val="0000ff"/>
          </w:rPr>
          <w:t xml:space="preserve">перечнем</w:t>
        </w:r>
      </w:hyperlink>
      <w:r>
        <w:rPr>
          <w:sz w:val="20"/>
        </w:rPr>
        <w:t xml:space="preserve"> профессий рабочих, должностей служащих, по которым осуществляется профессиональное обучение &lt;6&gt;.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</w:t>
      </w:r>
      <w:hyperlink w:history="0" r:id="rId20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7 статьи 73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22, ст. 3379).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ТРЕБОВАНИЯ К УСЛОВИЯМ РЕАЛИЗАЦИИ</w:t>
      </w:r>
    </w:p>
    <w:p>
      <w:pPr>
        <w:pStyle w:val="2"/>
        <w:jc w:val="center"/>
      </w:pPr>
      <w:r>
        <w:rPr>
          <w:sz w:val="20"/>
        </w:rPr>
        <w:t xml:space="preserve">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Образовательная организация осуществляет образовательную деятельность по реализации образовательной программы среднего профессионального образования в соответствии с действующими санитарными нормами и правилами &lt;7&gt;.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Федеральный </w:t>
      </w:r>
      <w:hyperlink w:history="0" r:id="rId21" w:tooltip="Федеральный закон от 30.03.1999 N 52-ФЗ (ред. от 04.11.2022) &quot;О санитарно-эпидемиологическом благополучии населения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30 марта 1999 г. N 52-ФЗ "О санитарно-эпидемиологическом благополучии населения" (Собрание законодательства Российской Федерации, 1999, N 14, ст. 1650; 2021, N 27, ст. 5185); санитарные правила </w:t>
      </w:r>
      <w:hyperlink w:history="0" r:id="rId22" w:tooltip="Постановление Главного государственного санитарного врача РФ от 28.09.2020 N 28 &quot;Об утверждении санитарных правил СП 2.4.3648-20 &quot;Санитарно-эпидемиологические требования к организациям воспитания и обучения, отдыха и оздоровления детей и молодежи&quot; (вместе с &quot;СП 2.4.3648-20. Санитарные правила...&quot;) (Зарегистрировано в Минюсте России 18.12.2020 N 61573) {КонсультантПлюс}">
        <w:r>
          <w:rPr>
            <w:sz w:val="20"/>
            <w:color w:val="0000ff"/>
          </w:rPr>
          <w:t xml:space="preserve">СП 2.4.3648-20</w:t>
        </w:r>
      </w:hyperlink>
      <w:r>
        <w:rPr>
          <w:sz w:val="20"/>
        </w:rPr>
        <w:t xml:space="preserve"> "Санитарно-эпидемиологические требования к организациям воспитания и обучения, отдыха и оздоровления детей и молодежи", утвержденные постановлением Главного государственного санитарного врача Российской Федерации от 28 сентября 2020 г. N 28 (зарегистрировано Министерством юстиции Российской Федерации 18 декабря 2020 г., регистрационный N 61573); санитарно-эпидемиологические правила и нормы </w:t>
      </w:r>
      <w:hyperlink w:history="0" r:id="rId23" w:tooltip="Постановление Главного государственного санитарного врача РФ от 27.10.2020 N 32 &quot;Об утверждении санитарно-эпидемиологических правил и норм СанПиН 2.3/2.4.3590-20 &quot;Санитарно-эпидемиологические требования к организации общественного питания населения&quot; (вместе с &quot;СанПиН 2.3/2.4.3590-20. Санитарно-эпидемиологические правила и нормы...&quot;) (Зарегистрировано в Минюсте России 11.11.2020 N 60833) {КонсультантПлюс}">
        <w:r>
          <w:rPr>
            <w:sz w:val="20"/>
            <w:color w:val="0000ff"/>
          </w:rPr>
          <w:t xml:space="preserve">СанПиН 2.3/2.4.3590-20</w:t>
        </w:r>
      </w:hyperlink>
      <w:r>
        <w:rPr>
          <w:sz w:val="20"/>
        </w:rPr>
        <w:t xml:space="preserve"> "Санитарно-эпидемиологические требования к организации общественного питания населения", утвержденные постановлением Главного государственного санитарного врача Российской Федерации от 27 октября 2020 г. N 32 (зарегистрировано Министерством юстиции Российской Федерации 11 ноября 2020 г., регистрационный N 60833); санитарные правила и нормы </w:t>
      </w:r>
      <w:hyperlink w:history="0" r:id="rId24" w:tooltip="Постановление Главного государственного санитарного врача РФ от 28.01.2021 N 2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я&quot; (вместе с &quot;СанПиН 1.2.3685-21. Санитарные правила и нормы...&quot;) (Зарегистрировано в Минюсте России 29.01.2021 N 62296) {КонсультантПлюс}">
        <w:r>
          <w:rPr>
            <w:sz w:val="20"/>
            <w:color w:val="0000ff"/>
          </w:rPr>
          <w:t xml:space="preserve">СанПиН 1.2.3685-21</w:t>
        </w:r>
      </w:hyperlink>
      <w:r>
        <w:rPr>
          <w:sz w:val="20"/>
        </w:rPr>
        <w:t xml:space="preserve"> "Гигиенические нормативы и требования к обеспечению безопасности и (или) безвредности для человека факторов среды обитания", утвержденные постановлением Главного государственного санитарного врача Российской Федерации от 28 января 2021 г. N 2 (зарегистрировано Министерством юстиции Российской Федерации 29 января 2021 г., регистрационный N 62296).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4.2. Требования к условиям реализации образовательной программы включают в себя общесистемные требования, требования к материально-техническому, учебно-методическому обеспечению, к организации воспитания обучающихся, кадровым и финансовым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Общесистемные требования к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образовательная организация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включая проведение демонстрационного экзамена, предусмотренных учебным планом, с учетом ПООП;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образовательной программы с использованием сетевой формы.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Требования к материально-техническому и учебно-методическому обеспечению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специальные помещения должны представлять собой учебные аудитории, лаборатории, мастерские, оснащенные оборудованием, техническими средствами обучения для проведения занятий всех видов, предусмотренных образовательной программой, в том числе групповых и индивидуальных консультаций, а также для проведения текущего контроля, промежуточной и государственной итоговой аттестации, помещения для организации самостоятельной и воспитательной работы;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все виды учебной деятельности обучающихся, предусмотренные учебным планом, включая промежуточную и государственную итоговую аттестацию, должны быть обеспечены расходными материалами;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помещения для организации самостоятельной и воспитательной работы должны быть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допускается замена оборудования его виртуальными аналогами;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образовательная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в качестве основной литературы образовательная организация использует учебники, учебные пособия, предусмотренные ПООП;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в случае наличия электронной информационно-образовательной среды допускается замена печатного библиотечного фонда с предоставлением права одновременного доступа не менее 25 процентов обучающихся к цифровой (электронной) библиотеке;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обучающимся должен быть обеспечен доступ,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обучающиеся инвалиды и лица с ограниченными возможностями здоровья должны быть обеспечены печатными и (или) электронными учебными изданиями, адаптированными при необходимости для обучения указанных обучающихся;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образовательная программа должна обеспечиваться учебно-методической документацией по всем учебным дисциплинам (модулям), видам практики, государственной итоговой аттестации;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м) рекомендации по иному материально-техническому и учебно-методическому обеспечению реализации образовательной программы определяются ПООП.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Требования к кадровым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иных условиях, в том числе из числа руководителей и работников организаций, направление деятельности которых соответствует области профессиональной деятельности, указанной в </w:t>
      </w:r>
      <w:hyperlink w:history="0" w:anchor="P70" w:tooltip="1.13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19 Добыча, переработка, транспортировка нефти и газа &lt;5&gt;.">
        <w:r>
          <w:rPr>
            <w:sz w:val="20"/>
            <w:color w:val="0000ff"/>
          </w:rPr>
          <w:t xml:space="preserve">пункте 1.13</w:t>
        </w:r>
      </w:hyperlink>
      <w:r>
        <w:rPr>
          <w:sz w:val="20"/>
        </w:rPr>
        <w:t xml:space="preserve"> ФГОС СПО (имеющих стаж работы в данной профессиональной области не менее трех лет);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 не реже одного раза в три года с учетом расширения спектра профессиональных компетенций, в том числе в форме стажировки в организациях, направление деятельности которых соответствует области профессиональной деятельности, указанной в </w:t>
      </w:r>
      <w:hyperlink w:history="0" w:anchor="P70" w:tooltip="1.13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19 Добыча, переработка, транспортировка нефти и газа &lt;5&gt;.">
        <w:r>
          <w:rPr>
            <w:sz w:val="20"/>
            <w:color w:val="0000ff"/>
          </w:rPr>
          <w:t xml:space="preserve">пункте 1.13</w:t>
        </w:r>
      </w:hyperlink>
      <w:r>
        <w:rPr>
          <w:sz w:val="20"/>
        </w:rPr>
        <w:t xml:space="preserve"> ФГОС СПО, а также в других областях профессиональной деятельности и (или) сферах профессиональной деятельности при условии соответствия полученных компетенций требованиям к квалификации педагогического работника;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доля педагогических работников (в приведенных к целочисленным значениям ставок), имеющих опыт деятельности не менее трех лет в организациях, направление деятельности которых соответствует области профессиональной деятельности, указанной в </w:t>
      </w:r>
      <w:hyperlink w:history="0" w:anchor="P70" w:tooltip="1.13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19 Добыча, переработка, транспортировка нефти и газа &lt;5&gt;.">
        <w:r>
          <w:rPr>
            <w:sz w:val="20"/>
            <w:color w:val="0000ff"/>
          </w:rPr>
          <w:t xml:space="preserve">пункте 1.13</w:t>
        </w:r>
      </w:hyperlink>
      <w:r>
        <w:rPr>
          <w:sz w:val="20"/>
        </w:rPr>
        <w:t xml:space="preserve"> ФГОС СПО, в общем числе педагогических работников, обеспечивающих освоение обучающимися профессиональных модулей образовательной программы, должна быть не менее 25 процентов.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Требование к финансовым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финансовое обеспечение реализации образовательной программы должно осуществляться в объеме не ниже определенного в соответствии с бюджетным законодательством Российской Федерации &lt;8&gt; и Федеральным </w:t>
      </w:r>
      <w:hyperlink w:history="0" r:id="rId25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&lt;9&gt;.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&lt;8&gt; Бюджетный </w:t>
      </w:r>
      <w:hyperlink w:history="0" r:id="rId26" w:tooltip="&quot;Бюджетный кодекс Российской Федерации&quot; от 31.07.1998 N 145-ФЗ (ред. от 21.11.2022) {КонсультантПлюс}">
        <w:r>
          <w:rPr>
            <w:sz w:val="20"/>
            <w:color w:val="0000ff"/>
          </w:rPr>
          <w:t xml:space="preserve">кодекс</w:t>
        </w:r>
      </w:hyperlink>
      <w:r>
        <w:rPr>
          <w:sz w:val="20"/>
        </w:rPr>
        <w:t xml:space="preserve"> Российской Федерации (Собрание законодательства Российской Федерации, 1998, N 31, ст. 3823; 2022, N 29, ст. 5305).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&lt;9&gt; Собрание законодательства Российской Федерации, 2012, N 53, ст. 7598; 2022, N 29, ст. 5262.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4.7. Требования к применяемым механизмам оценки качества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качество образовательной программы определяется в рамках системы внутренней оценки, а также системы внешней оценки на добровольной основе;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внешняя оценка качества образовательной программы может осуществляться в том числе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в целях признания качества и уровня подготовки выпускников, отвечающих требованиям профессиональных стандартов, требованиям рынка труда к специалистам соответствующего профиля.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Минпросвещения России от 12.09.2022 N 824</w:t>
            <w:br/>
            <w:t>"Об утверждении федерального государственного образовательного стандарт...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23B87AD516F77C2139837D9112BC9C02C4DFD7E4170B168A162EDE4A38B79F918FF7CE5866251CB9F46CE8820165891ECC86CA2B8D70CBE263T1K" TargetMode = "External"/>
	<Relationship Id="rId8" Type="http://schemas.openxmlformats.org/officeDocument/2006/relationships/hyperlink" Target="consultantplus://offline/ref=23B87AD516F77C2139837D9112BC9C02C3D5DFE7160F168A162EDE4A38B79F918FF7CE5866251CBBF76CE8820165891ECC86CA2B8D70CBE263T1K" TargetMode = "External"/>
	<Relationship Id="rId9" Type="http://schemas.openxmlformats.org/officeDocument/2006/relationships/hyperlink" Target="consultantplus://offline/ref=23B87AD516F77C2139837D9112BC9C02C3D5DEE11108168A162EDE4A38B79F918FF7CE5866251CBDF76CE8820165891ECC86CA2B8D70CBE263T1K" TargetMode = "External"/>
	<Relationship Id="rId10" Type="http://schemas.openxmlformats.org/officeDocument/2006/relationships/hyperlink" Target="consultantplus://offline/ref=23B87AD516F77C2139837D9112BC9C02C1DED1E21A09168A162EDE4A38B79F918FF7CE5866251DBEF76CE8820165891ECC86CA2B8D70CBE263T1K" TargetMode = "External"/>
	<Relationship Id="rId11" Type="http://schemas.openxmlformats.org/officeDocument/2006/relationships/hyperlink" Target="consultantplus://offline/ref=23B87AD516F77C2139837D9112BC9C02C4DDDFE3170C168A162EDE4A38B79F918FF7CE5866241BBCF46CE8820165891ECC86CA2B8D70CBE263T1K" TargetMode = "External"/>
	<Relationship Id="rId12" Type="http://schemas.openxmlformats.org/officeDocument/2006/relationships/hyperlink" Target="consultantplus://offline/ref=23B87AD516F77C2139837D9112BC9C02C4DDDFE3170C168A162EDE4A38B79F918FF7CE58662519BAF76CE8820165891ECC86CA2B8D70CBE263T1K" TargetMode = "External"/>
	<Relationship Id="rId13" Type="http://schemas.openxmlformats.org/officeDocument/2006/relationships/hyperlink" Target="consultantplus://offline/ref=23B87AD516F77C2139837D9112BC9C02C4DED0E1160B168A162EDE4A38B79F918FF7CE5D6D714DF8A06ABDD55B318601C898C962TBK" TargetMode = "External"/>
	<Relationship Id="rId14" Type="http://schemas.openxmlformats.org/officeDocument/2006/relationships/hyperlink" Target="consultantplus://offline/ref=23B87AD516F77C2139837D9112BC9C02C4DED0E1160B168A162EDE4A38B79F918FF7CE5D6D714DF8A06ABDD55B318601C898C962TBK" TargetMode = "External"/>
	<Relationship Id="rId15" Type="http://schemas.openxmlformats.org/officeDocument/2006/relationships/hyperlink" Target="consultantplus://offline/ref=23B87AD516F77C2139837D9112BC9C02C4DFD5E0110B168A162EDE4A38B79F918FF7CE5D622317E8A423E9DE44369A1EC886C9299167T0K" TargetMode = "External"/>
	<Relationship Id="rId16" Type="http://schemas.openxmlformats.org/officeDocument/2006/relationships/hyperlink" Target="consultantplus://offline/ref=23B87AD516F77C2139837D9112BC9C02C4DFD5E0110B168A162EDE4A38B79F918FF7CE5866251EB8FC6CE8820165891ECC86CA2B8D70CBE263T1K" TargetMode = "External"/>
	<Relationship Id="rId17" Type="http://schemas.openxmlformats.org/officeDocument/2006/relationships/hyperlink" Target="consultantplus://offline/ref=23B87AD516F77C2139837D9112BC9C02C2DDD2E3100D168A162EDE4A38B79F918FF7CE5866251CB4F36CE8820165891ECC86CA2B8D70CBE263T1K" TargetMode = "External"/>
	<Relationship Id="rId18" Type="http://schemas.openxmlformats.org/officeDocument/2006/relationships/hyperlink" Target="consultantplus://offline/ref=23B87AD516F77C2139837D9112BC9C02C2DDD2E3100D168A162EDE4A38B79F918FF7CE5866251CB8F26CE8820165891ECC86CA2B8D70CBE263T1K" TargetMode = "External"/>
	<Relationship Id="rId19" Type="http://schemas.openxmlformats.org/officeDocument/2006/relationships/hyperlink" Target="consultantplus://offline/ref=23B87AD516F77C2139837D9112BC9C02C3D4DFEC100E168A162EDE4A38B79F918FF7CE5866251CBDF76CE8820165891ECC86CA2B8D70CBE263T1K" TargetMode = "External"/>
	<Relationship Id="rId20" Type="http://schemas.openxmlformats.org/officeDocument/2006/relationships/hyperlink" Target="consultantplus://offline/ref=23B87AD516F77C2139837D9112BC9C02C4DFD5E0110B168A162EDE4A38B79F918FF7CE5D672017E8A423E9DE44369A1EC886C9299167T0K" TargetMode = "External"/>
	<Relationship Id="rId21" Type="http://schemas.openxmlformats.org/officeDocument/2006/relationships/hyperlink" Target="consultantplus://offline/ref=23B87AD516F77C2139837D9112BC9C02C4DFD6E21009168A162EDE4A38B79F919DF79654672302BDF779BED34763T2K" TargetMode = "External"/>
	<Relationship Id="rId22" Type="http://schemas.openxmlformats.org/officeDocument/2006/relationships/hyperlink" Target="consultantplus://offline/ref=23B87AD516F77C2139837D9112BC9C02C3DBD7E11B09168A162EDE4A38B79F918FF7CE5866251CB8F26CE8820165891ECC86CA2B8D70CBE263T1K" TargetMode = "External"/>
	<Relationship Id="rId23" Type="http://schemas.openxmlformats.org/officeDocument/2006/relationships/hyperlink" Target="consultantplus://offline/ref=23B87AD516F77C2139837D9112BC9C02C3DAD1E11409168A162EDE4A38B79F918FF7CE5866251CBFF26CE8820165891ECC86CA2B8D70CBE263T1K" TargetMode = "External"/>
	<Relationship Id="rId24" Type="http://schemas.openxmlformats.org/officeDocument/2006/relationships/hyperlink" Target="consultantplus://offline/ref=23B87AD516F77C2139837D9112BC9C02C3DBD3EC1104168A162EDE4A38B79F918FF7CE5866251DBFF26CE8820165891ECC86CA2B8D70CBE263T1K" TargetMode = "External"/>
	<Relationship Id="rId25" Type="http://schemas.openxmlformats.org/officeDocument/2006/relationships/hyperlink" Target="consultantplus://offline/ref=23B87AD516F77C2139837D9112BC9C02C4DFD5E0110B168A162EDE4A38B79F919DF79654672302BDF779BED34763T2K" TargetMode = "External"/>
	<Relationship Id="rId26" Type="http://schemas.openxmlformats.org/officeDocument/2006/relationships/hyperlink" Target="consultantplus://offline/ref=23B87AD516F77C2139837D9112BC9C02C4DFD7EC1A05168A162EDE4A38B79F919DF79654672302BDF779BED34763T2K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12.09.2022 N 824
"Об утверждении федерального государственного образовательного стандарта среднего профессионального образования по профессии 21.01.02 Оператор по ремонту скважин"
(Зарегистрировано в Минюсте России 07.10.2022 N 70419)</dc:title>
  <dcterms:created xsi:type="dcterms:W3CDTF">2022-12-16T10:19:57Z</dcterms:created>
</cp:coreProperties>
</file>