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10.10.2022 N 897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25.02.09 Организация воздушных перевозок и авиационных работ"</w:t>
              <w:br/>
              <w:t xml:space="preserve">(Зарегистрировано в Минюсте России 18.11.2022 N 71009)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18 ноября 2022 г. N 71009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10 октября 2022 г. N 897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25.02.09 ОРГАНИЗАЦИЯ ВОЗДУШНЫХ ПЕРЕВОЗОК И АВИАЦИОННЫХ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Постановление Правительства РФ от 28.07.2018 N 884 (ред. от 10.11.2022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4.2.31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</w:t>
      </w:r>
      <w:hyperlink w:history="0" r:id="rId8" w:tooltip="Постановление Правительства РФ от 12.04.2019 N 434 (ред. от 22.10.2021) &quot;Об утверждении Правил разработки, утверждения федеральных государственных образовательных стандартов и внесения в них изменений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27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по согласованию с Министерством транспорта Российской Федерации прилагаемый федеральный государственный образовательный </w:t>
      </w:r>
      <w:hyperlink w:history="0" w:anchor="P31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25.02.09 Организация воздушных перевозок и авиационных работ.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10 октября 2022 г. N 897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25.02.09 ОРГАНИЗАЦИЯ ВОЗДУШНЫХ ПЕРЕВОЗОК И АВИАЦИОННЫХ РАБОТ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</w:t>
      </w:r>
      <w:hyperlink w:history="0" r:id="rId9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25.02.09</w:t>
        </w:r>
      </w:hyperlink>
      <w:r>
        <w:rPr>
          <w:sz w:val="20"/>
        </w:rPr>
        <w:t xml:space="preserve"> Организация воздушных перевозок и авиационных работ (далее соответственно - ФГОС СПО, образовательная программа, специальность) в соответствии с квалификацией специалиста среднего звена "специалист по организации воздушных перевозок и авиационных работ"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Приказ Минпросвещения России от 17.05.2022 N 336 &quot;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в этих перечнях, профессиям и специальностям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 &quot;Об утверждении перечней профессий и специальностей с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специальностей среднего профессионального образования, утвержденный приказом Министерства просвещения Российской Федерации от 17 мая 2022 г. N 336 (зарегистрирован Министерством юстиции Российской Федерации 17 июня 2022 г., регистрационный N 68887).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1.2.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</w:t>
      </w:r>
      <w:hyperlink w:history="0" r:id="rId11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стандарта</w:t>
        </w:r>
      </w:hyperlink>
      <w:r>
        <w:rPr>
          <w:sz w:val="20"/>
        </w:rPr>
        <w:t xml:space="preserve"> среднего общего образования &lt;2&gt; и ФГОС СПО с учетом получаемой специальности.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Федеральный государственный образовательный </w:t>
      </w:r>
      <w:hyperlink w:history="0" r:id="rId12" w:tooltip="Приказ Минобрнауки России от 17.05.2012 N 413 (ред. от 12.08.2022) &quot;Об утверждении федерального государственного образовательного стандарта среднего общего образования&quot; (Зарегистрировано в Минюсте России 07.06.2012 N 24480) {КонсультантПлюс}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35953), от 31 декабря 2015 г. N 1578 (зарегистрирован Министерством юстиции Российской Федерации 9 февраля 2016 г., регистрационный N 41020), от 29 июня 2017 г. N 613 (зарегистрирован Министерством юстиции Российской Федерации 26 июля 2017 г., регистрационный N 47532), приказами Министерства просвещения Российской Федерации от 24 сентября 2020 г. N 519 (зарегистрирован Министерством юстиции Российской Федерации 23 декабря 2020 г., регистрационный N 61749), от 11 декабря 2020 г. N 712 (зарегистрирован Министерством юстиции Российской Федерации 25 декабря 2020 г., регистрационный N 61828) и от 12 августа 2022 г. N 732 (зарегистрирован Министерством юстиции Российской Федерации 12 сентября 2022 г., регистрационный N 70034).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Обучение по образовательной программе в образовательной организации осуществляется в очной, очно-заочной и заочной формах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обучению в очно-заочной и заочной формах обучения допускаются лица, осуществляющие деятельность по обеспечению безопасности полетов воздушных судов или авиационной безопасности, по организации, обеспечению и обслуживанию воздушных перевозок и полетов воздушных судов, по организации и обеспечению авиационных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Обучение в очно-заочной и заочной формах обучения допускается при обеспечении возможности прохождения обучающимся практик, предусмотренных образовательной программой, по месту работы обучающегося в организации, деятельность которой соответствует профессиональным компетенциям, формируемым у обучающегося в рамках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соответствующую примерную основную образовательную программу, включенную в реестр примерных основных образовательных программ (далее - ПООП), примерной рабочей программы воспитания и примерного календарного плана воспитательной работы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</w:t>
      </w:r>
      <w:hyperlink w:history="0" r:id="rId1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2 статьи 12.1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1.8. Образовательная программа реализуется на государственном языке Российской Федерации, если иное не определено локальным нормативным актом образовательной организации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4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Статья 14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>
      <w:pPr>
        <w:pStyle w:val="0"/>
        <w:jc w:val="both"/>
      </w:pPr>
      <w:r>
        <w:rPr>
          <w:sz w:val="20"/>
        </w:rPr>
      </w:r>
    </w:p>
    <w:bookmarkStart w:id="61" w:name="P61"/>
    <w:bookmarkEnd w:id="61"/>
    <w:p>
      <w:pPr>
        <w:pStyle w:val="0"/>
        <w:ind w:firstLine="540"/>
        <w:jc w:val="both"/>
      </w:pPr>
      <w:r>
        <w:rPr>
          <w:sz w:val="20"/>
        </w:rPr>
        <w:t xml:space="preserve">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- 2 года 10 месяцев;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- 3 года 10 месяцев.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получения образования по образовательной программе в очно-заочной и заочной формах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 не более чем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При обучении по индивидуальному учебному плану срок получения образования по образовательной программе, вне зависимости от формы обучения, составляет не более срока получения образования, установленного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Конкретный срок получения образования в очно-заочной и заочной формах обучения, а также по индивидуальному учебному плану, в том числе при ускоренном обучении, определяется образовательной организацией самостоятельно в пределах сроков, установленных </w:t>
      </w:r>
      <w:hyperlink w:history="0" w:anchor="P61" w:tooltip="1.9. Срок получения образования по образовательной программе в очной форме обучения вне зависимости от применяемых образовательных технологий составляет:">
        <w:r>
          <w:rPr>
            <w:sz w:val="20"/>
            <w:color w:val="0000ff"/>
          </w:rPr>
          <w:t xml:space="preserve">пунктом 1.9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Срок получения образования по образовательной программе, реализуемой в условиях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а также объем такой образовательной программы могут быть уменьшены с учетом соответствующей ПООП, но не более чем на 40 процентов от срока получения образования и объема образовательной программы, установленных ФГОС СПО &lt;5&gt;, за исключением срока получения образования и объема образовательной программы, отведенных на получение среднего общего образования в пределах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15" w:tooltip="Постановление Правительства РФ от 16.03.2022 N 387 &quot;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сионалитет&quot; (вместе с &quot;Положением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&quot;Профес {КонсультантПлюс}">
        <w:r>
          <w:rPr>
            <w:sz w:val="20"/>
            <w:color w:val="0000ff"/>
          </w:rPr>
          <w:t xml:space="preserve">Пункт 11</w:t>
        </w:r>
      </w:hyperlink>
      <w:r>
        <w:rPr>
          <w:sz w:val="20"/>
        </w:rPr>
        <w:t xml:space="preserve"> Положения о проведении эксперимента по разработке,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"Профессионалитет", утвержденного постановлением Правительства Российской Федерации от 16 марта 2022 г. N 387 (Собрание законодательства Российской Федерации, 2022, N 12, ст. 1871).</w:t>
      </w:r>
    </w:p>
    <w:p>
      <w:pPr>
        <w:pStyle w:val="0"/>
        <w:jc w:val="both"/>
      </w:pPr>
      <w:r>
        <w:rPr>
          <w:sz w:val="20"/>
        </w:rPr>
      </w:r>
    </w:p>
    <w:bookmarkStart w:id="73" w:name="P73"/>
    <w:bookmarkEnd w:id="73"/>
    <w:p>
      <w:pPr>
        <w:pStyle w:val="0"/>
        <w:ind w:firstLine="540"/>
        <w:jc w:val="both"/>
      </w:pPr>
      <w:r>
        <w:rPr>
          <w:sz w:val="20"/>
        </w:rPr>
        <w:t xml:space="preserve">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</w:t>
      </w:r>
      <w:hyperlink w:history="0" r:id="rId16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Транспорт &lt;6&gt;.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</w:t>
      </w:r>
      <w:hyperlink w:history="0" r:id="rId17" w:tooltip="Приказ Минтруда России от 29.09.2014 N 667н (ред. от 09.03.2017) &quot;О реестре профессиональных стандартов (перечне видов профессиональной деятельности)&quot; (Зарегистрировано в Минюсте России 19.11.2014 N 34779) {КонсультантПлюс}">
        <w:r>
          <w:rPr>
            <w:sz w:val="20"/>
            <w:color w:val="0000ff"/>
          </w:rPr>
          <w:t xml:space="preserve">Таблица</w:t>
        </w:r>
      </w:hyperlink>
      <w:r>
        <w:rPr>
          <w:sz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При разработке образовательной программы организация устанавливает направленность, которая соответствует специальности в целом, с учетом соответствующей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ТРЕБОВАНИЯ К СТРУКТУРЕ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Структура и объем образовательной программы </w:t>
      </w:r>
      <w:hyperlink w:history="0" w:anchor="P89" w:tooltip="Структура и объем образовательной программы">
        <w:r>
          <w:rPr>
            <w:sz w:val="20"/>
            <w:color w:val="0000ff"/>
          </w:rPr>
          <w:t xml:space="preserve">(таблица N 1)</w:t>
        </w:r>
      </w:hyperlink>
      <w:r>
        <w:rPr>
          <w:sz w:val="20"/>
        </w:rPr>
        <w:t xml:space="preserve">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дисциплины (модули);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государственную итоговую аттестацию.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1</w:t>
      </w:r>
    </w:p>
    <w:p>
      <w:pPr>
        <w:pStyle w:val="0"/>
        <w:jc w:val="both"/>
      </w:pPr>
      <w:r>
        <w:rPr>
          <w:sz w:val="20"/>
        </w:rPr>
      </w:r>
    </w:p>
    <w:bookmarkStart w:id="89" w:name="P89"/>
    <w:bookmarkEnd w:id="89"/>
    <w:p>
      <w:pPr>
        <w:pStyle w:val="0"/>
        <w:jc w:val="center"/>
      </w:pPr>
      <w:r>
        <w:rPr>
          <w:sz w:val="20"/>
        </w:rPr>
        <w:t xml:space="preserve">Структура и объем 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75"/>
        <w:gridCol w:w="4195"/>
      </w:tblGrid>
      <w:tr>
        <w:tc>
          <w:tcPr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Структура образовательной программы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образовательной программы, в академических часах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Дисциплины (модули)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2052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Практика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900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</w:t>
            </w:r>
          </w:p>
        </w:tc>
      </w:tr>
      <w:tr>
        <w:tc>
          <w:tcPr>
            <w:gridSpan w:val="2"/>
            <w:tcW w:w="90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Общий объем образовательной программы: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среднего общего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4464</w:t>
            </w:r>
          </w:p>
        </w:tc>
      </w:tr>
      <w:tr>
        <w:tc>
          <w:tcPr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5940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2.2. Образовательная программа включает циклы: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социально-гуманитарный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общепрофессиональный цикл;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цикл.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рамках образовательной программы выделяются обязательная часть и часть, формируемая участниками образовательных отношений (вариативная часть).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w:history="0" w:anchor="P134" w:tooltip="III. ТРЕБОВАНИЯ К РЕЗУЛЬТАТАМ ОСВОЕНИЯ">
        <w:r>
          <w:rPr>
            <w:sz w:val="20"/>
            <w:color w:val="0000ff"/>
          </w:rPr>
          <w:t xml:space="preserve">главой III</w:t>
        </w:r>
      </w:hyperlink>
      <w:r>
        <w:rPr>
          <w:sz w:val="20"/>
        </w:rPr>
        <w:t xml:space="preserve"> ФГОС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обязательной части без учета объема государственной итоговой аттестации должен составлять не более 70 процентов от общего объема времени, отведенного на освоение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Вариативная часть образовательной программы объемом не менее 30 процентов от общего объема времени, отведенного на освоение образовательной программы, дает возможность дальнейшего развития общих и профессиональных компетенций, в том числе за счет расширения видов деятельности, введения дополнительных видов деятельности, а также профессиональных компетенций, необходимых для обеспечения конкурентоспособности выпускника в соответствии с потребностями регионального рынка труда, а также с учетом требований цифровой экономики.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Конкретное соотношение обязательной и вариативной частей образовательной программы, объемные параметры циклов и практики образовательная организация определяет самостоятельно в соответствии с требованиями настоящего пункта, а также с учетом ПООП.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обслуживания воздушных перевозок пассажиров, багажа, ручной клади, почты и грузов;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авиационных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выполнения работ по наземному обслуживанию воздушных судов;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качества обслуживания воздушных перевозок, организации авиационных работ и работ по наземному обслуживанию воздушных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Образовательная организация при необходимости самостоятельно формирует виды деятельности в дополнение к видам деятельности, указанным в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пункте 2.4</w:t>
        </w:r>
      </w:hyperlink>
      <w:r>
        <w:rPr>
          <w:sz w:val="20"/>
        </w:rPr>
        <w:t xml:space="preserve"> ФГОС СПО, в рамках вариативной части.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При освоении социально-гуманитарного, общепрофессионального и профессионального циклов (далее - учебные циклы) выделяется объем учебных занятий, практики (в профессиональном цикле) и самостоятельной работы.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проведение учебных занятий и практики должно быть выделено не менее 70 процентов от объема учебных циклов образовательной программы в очной форме обучения, не менее 25 процентов - в очно-заочной форме обучения и не менее 10 процентов - в заочной форме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учебные циклы включается промежуточная аттестация обучающихся, которая осуществляется в рамках освоения указанных циклов в соответствии с формой, определяемой образовательной организацией, и оценочными материалами, позволяющими оценить достижение запланированных по отдельным дисциплинам (модулям) и практикам результатов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Обязательная часть социально-гуманитарного цикла образовательной программы должна предусматривать изучение следующих дисциплин: "История России", "Иностранный язык в профессиональной деятельности", "Безопасность жизнедеятельности",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объем дисциплины "Безопасность жизнедеятельности" в очной форме обучения не может быть менее 68 академических часов, из них на освоение основ военной службы (для юношей) - не менее 48 академических часов; для подгрупп девушек это время может быть использовано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Дисциплина "Физическая культура" должна способствовать формированию физической культуры выпускника и способности направленного использования средств физической культуры и спорта для сохранения и укрепления здоровья, психофизической подготовке к профессиональной деятельности, предупреждению профессиональных заболеваний.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Обязательная часть общепрофессионального цикла образовательной программы должна предусматривать изучение следующих дисциплин: "Математические методы в профессиональной деятельности", "Электротехника и электроника", "Инженерная графика", "Информационные технологии в профессиональной деятельности", "Охрана труда", "Метрология, стандартизация и сертификация", "Психология общения", "Безопасность полетов", "Нормативное правовое обеспечение профессиональной деятельности", "Основы экономики воздушного транспорта".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Профессиональный цикл образовательной программы включает профессиональные модули, которые формируются в соответствии с видами деятельности, предусмотренными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дополнительными видами деятельности, сформированными образовательными организациями самостоятельно. В состав профессионального модуля входит один или несколько междисциплинарных курсов, которые устанавливаются образовательной организацией самостоятельно с учетом ПООП. Объем профессионального модуля составляет не менее 8 зачетных единиц.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Практика входит в профессиональный цикл и имеет следующие виды - учебная практика и производственная практика, которые реализуются в форме практической подготовки. Учебная и производственная практики реализуются как в несколько периодов, так и рассредоточенно, чередуясь с учебными занятиями. Типы практики устанавливаются образовательной организацией самостоятельно с учетом ПООП.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Образовательная организация должна предоставлять инвалидам и лицам с ограниченными возможностями здоровья (по их заявлению) возможность обучения по образовательной программе,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2.12. Государственная итоговая аттестация проводится в форме государственного экзамена и защиты дипломного проекта (работы).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2.13. Государственная итоговая аттестация завершается присвоением квалификации специалиста среднего звена, указанной в </w:t>
      </w:r>
      <w:hyperlink w:history="0" w:anchor="P37" w:tooltip="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- программ подготовки специалистов среднего звена по специальности 25.02.09 Организация воздушных перевозок и авиационных работ (далее соответственно - ФГОС СПО, образовательная программа, специальность) в соответствии с квалификацией специалиста среднего звена &quot;спец...">
        <w:r>
          <w:rPr>
            <w:sz w:val="20"/>
            <w:color w:val="0000ff"/>
          </w:rPr>
          <w:t xml:space="preserve">пункте 1.1</w:t>
        </w:r>
      </w:hyperlink>
      <w:r>
        <w:rPr>
          <w:sz w:val="20"/>
        </w:rPr>
        <w:t xml:space="preserve"> ФГОС СПО.</w:t>
      </w:r>
    </w:p>
    <w:p>
      <w:pPr>
        <w:pStyle w:val="0"/>
        <w:jc w:val="both"/>
      </w:pPr>
      <w:r>
        <w:rPr>
          <w:sz w:val="20"/>
        </w:rPr>
      </w:r>
    </w:p>
    <w:bookmarkStart w:id="134" w:name="P134"/>
    <w:bookmarkEnd w:id="134"/>
    <w:p>
      <w:pPr>
        <w:pStyle w:val="2"/>
        <w:outlineLvl w:val="1"/>
        <w:jc w:val="center"/>
      </w:pPr>
      <w:r>
        <w:rPr>
          <w:sz w:val="20"/>
        </w:rPr>
        <w:t xml:space="preserve">III. ТРЕБОВАНИЯ К РЕЗУЛЬТАТАМ ОСВОЕНИЯ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 результате освоения образовательной программы у выпускника должны быть сформированы общие и профессиональные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Выпускник, освоивший образовательную программу, должен обладать следующими общими компетенциями (далее - ОК):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01. Выбирать способы решения задач профессиональной деятельности применительно к различным контекстам;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02.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04. Эффективно взаимодействовать и работать в коллективе и команде;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09. Пользоваться профессиональной документацией на государственном и иностранном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Выпускник, освоивший образовательную программу, должен обладать профессиональными компетенциями (далее - ПК), соответствующими видам деятельности (таблица N 2), предусмотренным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. ФГОС СПО, сформированными в том числе на основе профессиональных стандартов (при наличии), указанных в ПООП: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N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4"/>
        <w:gridCol w:w="6236"/>
      </w:tblGrid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обслуживания воздушных перевозок пассажиров, багажа, ручной клади, почты и грузов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1.1. Организовывать оформление пассажиров, багажа и ручной клади к воздушной перевозке.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1.2. Организовывать оформление почты и грузов к воздушной перевозке.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1.3. Организовывать посадку пассажиров на воздушное судно и встречу прибывающих пассажиров.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1.4. Организовывать обслуживание багажа и ручной клади пассажиров.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1.5. Организовывать обслуживание почты и грузов.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1.6. Организовывать взаимодействие структурных подразделений перевозчика и организации, осуществляющей аэропортовую деятельность, в ходе обслуживания воздушных перевозок пассажиров, багажа, ручной клади, почты и грузов.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авиационных работ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2.1. Организовывать авиационные работы в соответствии с требованиями, установленными правилами выполнения авиационных работ определенных видов.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2.2. Организовывать взаимодействие перевозчика и структурных подразделений организации, осуществляющей аэропортовую деятельность, в процессе организации и выполнения авиационных работ.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выполнения работ по наземному обслуживанию воздушных судов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3.1. Организовывать выполнение работ по наземному обслуживанию воздушных судов по прилету и вылету в соответствии с требованиями системы управления безопасностью полетов.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3.2. Организовывать оперативное взаимодействие служб, осуществляющих наземное обслуживание воздушных судов гражданской авиации.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3.3. Организовывать и осуществлять загрузку, распределение и крепление коммерческой загрузки в багажные отсеки воздушных судов в соответствии с требованиями по безопасности полетов.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3.4. Разрабатывать предложения по устранению недостатков в ходе выполнения наземного обслуживания воздушных судов.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3.5. Принимать оперативные меры по исключению задержек рейсов в ходе наземного обслуживания воздушных судов.</w:t>
            </w:r>
          </w:p>
        </w:tc>
      </w:tr>
      <w:tr>
        <w:tc>
          <w:tcPr>
            <w:tcW w:w="2834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качества обслуживания воздушных перевозок, организации авиационных работ и работ по наземному обслуживанию воздушных судов</w:t>
            </w:r>
          </w:p>
        </w:tc>
        <w:tc>
          <w:tcPr>
            <w:tcW w:w="623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ПК 4.1. Осуществлять контроль оформления пассажиров, багажа, ручной клади, почты и грузов к воздушной перевозке.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4.2. Осуществлять проверку организации посадки пассажиров на воздушное судно и встречи прибывающих пассажиров.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4.3. Осуществлять проверку оформления сопроводительной документации на воздушную перевозку пассажиров, багажа, ручной клади, почты и грузов.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4.4. Осуществлять контроль за соблюдением требований, установленных правилами выполнения авиационных работ определенных видов, в процессе организации и выполнения авиационных работ.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4.5. Осуществлять проверку технического состояния оборудования и спецтехники, необходимых для организации наземного обслуживания воздушных судов.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ПК 4.6. Осуществлять контроль за соблюдением технологии наземного обслуживания воздушных судов гражданской авиации.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3.4. Образовательная организация при необходимости самостоятельно включает в образовательную программу дополнительные профессиональные компетенции по видам деятельности, установленным в соответствии с </w:t>
      </w:r>
      <w:hyperlink w:history="0" w:anchor="P114" w:tooltip="2.4. Образовательная программа разрабатывается образовательной организацией в соответствии с ФГОС СПО и с учетом соответствующей ПООП и предполагает освоение следующих видов деятельности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ФГОС СПО, а также по видам деятельности, сформированным в вариативной части образовательной программы для учета потребностей регионального рынка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при необходимости вводит в вариативную часть учебных циклов образовательной программы модуль по освоению компетенций цифровой экономики, соответствующих одному или нескольким видам деятельности, осваиваемым в рамках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Образовательная организация с учетом ПООП самостоятельно планирует результаты обучения по отдельным дисциплинам (модулям) и практикам, которые должны быть соотнесены с требуемыми результатами освоения образовательной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Совокупность запланированных результатов обучения по дисциплинам (модулям) и практикам должна обеспечивать выпускнику освоение всех компетенций, установленных образовательной программой.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Обучающиеся, осваивающие образовательную программу, могут освоить профессию рабочего, должность служащего (одну или несколько) в соответствии с перечнем профессий рабочих, должностей служащих, по которым осуществляется профессиональное обучение &lt;7&gt;.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 </w:t>
      </w:r>
      <w:hyperlink w:history="0" r:id="rId18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7 статьи 73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ТРЕБОВАНИЯ К УСЛОВИЯМ РЕАЛИЗАЦИИ</w:t>
      </w:r>
    </w:p>
    <w:p>
      <w:pPr>
        <w:pStyle w:val="2"/>
        <w:jc w:val="center"/>
      </w:pPr>
      <w:r>
        <w:rPr>
          <w:sz w:val="20"/>
        </w:rPr>
        <w:t xml:space="preserve">ОБРАЗОВАТЕЛЬНОЙ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Образовательная организация осуществляет образовательную деятельность по реализации образовательной программы среднего профессионального образования в соответствии с действующими санитарными нормами и правилами &lt;8&gt;.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&lt;8&gt; Федеральный </w:t>
      </w:r>
      <w:hyperlink w:history="0" r:id="rId19" w:tooltip="Федеральный закон от 30.03.1999 N 52-ФЗ (ред. от 04.11.2022) &quot;О санитарно-эпидемиологическом благополучии населения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2021, N 27, ст. 5185); санитарные правила </w:t>
      </w:r>
      <w:hyperlink w:history="0" r:id="rId20" w:tooltip="Постановление Главного государственного санитарного врача РФ от 28.09.2020 N 28 &quot;Об утверждении санитарных правил СП 2.4.3648-20 &quot;Санитарно-эпидемиологические требования к организациям воспитания и обучения, отдыха и оздоровления детей и молодежи&quot; (вместе с &quot;СП 2.4.3648-20. Санитарные правила...&quot;) (Зарегистрировано в Минюсте России 18.12.2020 N 61573) {КонсультантПлюс}">
        <w:r>
          <w:rPr>
            <w:sz w:val="20"/>
            <w:color w:val="0000ff"/>
          </w:rPr>
          <w:t xml:space="preserve">СП 2.4.3648-20</w:t>
        </w:r>
      </w:hyperlink>
      <w:r>
        <w:rPr>
          <w:sz w:val="20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61573); санитарно-эпидемиологические правила и нормы </w:t>
      </w:r>
      <w:hyperlink w:history="0" r:id="rId21" w:tooltip="Постановление Главного государственного санитарного врача РФ от 27.10.2020 N 32 &quot;Об утверждении санитарно-эпидемиологических правил и норм СанПиН 2.3/2.4.3590-20 &quot;Санитарно-эпидемиологические требования к организации общественного питания населения&quot; (вместе с &quot;СанПиН 2.3/2.4.3590-20. Санитарно-эпидемиологические правила и нормы...&quot;) (Зарегистрировано в Минюсте России 11.11.2020 N 60833) {КонсультантПлюс}">
        <w:r>
          <w:rPr>
            <w:sz w:val="20"/>
            <w:color w:val="0000ff"/>
          </w:rPr>
          <w:t xml:space="preserve">СанПиН 2.3/2.4.3590-20</w:t>
        </w:r>
      </w:hyperlink>
      <w:r>
        <w:rPr>
          <w:sz w:val="20"/>
        </w:rPr>
        <w:t xml:space="preserve"> "Санитарно-эпидемиологические требования к организации общественного питания населения", утвержденные постановлением Главного государственного санитарного врача Российской Федерации от 27 октября 2020 г. N 32 (зарегистрировано Министерством юстиции Российской Федерации 11 ноября 2020 г., регистрационный N 60833); санитарные правила и нормы </w:t>
      </w:r>
      <w:hyperlink w:history="0" r:id="rId22" w:tooltip="Постановление Главного государственного санитарного врача РФ от 28.01.2021 N 2 &quot;Об утверждении санитарных правил и норм СанПиН 1.2.3685-21 &quot;Гигиенические нормативы и требования к обеспечению безопасности и (или) безвредности для человека факторов среды обитания&quot; (вместе с &quot;СанПиН 1.2.3685-21. Санитарные правила и нормы...&quot;) (Зарегистрировано в Минюсте России 29.01.2021 N 62296) {КонсультантПлюс}">
        <w:r>
          <w:rPr>
            <w:sz w:val="20"/>
            <w:color w:val="0000ff"/>
          </w:rPr>
          <w:t xml:space="preserve">СанПиН 1.2.3685-21</w:t>
        </w:r>
      </w:hyperlink>
      <w:r>
        <w:rPr>
          <w:sz w:val="20"/>
        </w:rPr>
        <w:t xml:space="preserve">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 организации воспитания обучающихся, кадровым и финансовым условиям реализации образовательной программы: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4.3. Общесистемные требования к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включая проведение демонстрационного экзамена, предусмотренных учебным планом, с учетом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образовательной программы с использованием сетевой формы.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4.4. Требования к материально-техническому и учебно-методическому обеспечению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специальные помещения должны представлять собой учебные аудитории, лаборатории, мастерские, оснащенные оборудованием, техническими средствами обучения для проведения занятий всех видов, предусмотренных образовательной программой, в том числе групповых и индивидуальных консультаций, а также для проведения текущего контроля, промежуточной и государственной итоговой аттестации, помещения для организации самостоятельной и воспитательной работы;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все виды учебной деятельности обучающихся, предусмотренные учебным планом, включая промежуточную и государственную итоговую аттестацию, должны быть обеспечены расходными материалами;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помещения для организации самостоятельной и воспитательной работы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допускается замена оборудования его виртуальными аналогами;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образовательная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ж) в качестве основной литературы образовательная организация использует учебники, учебные пособия, предусмотренные ПООП;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з) в случае наличия электронной информационно-образовательной среды допускается замена печатного библиотечного фонда с предоставлением права одновременного доступа не менее 25 процентов обучающихся к цифровой (электронной) библиотеке;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и)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к)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указанных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л) образовательная программа должна обеспечиваться учебно-методической документацией по всем учебным дисциплинам (модулям), видам практики, видам государственной итоговой аттестации;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м)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4.5. Требования к кадровым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иных условиях,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 (имеющих стаж работы в данной профессиональной области не менее трех лет);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 не реже одного раза в три года с учетом расширения спектра профессиональных компетенций,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а также в других областях профессиональной деятельности и (или) сферах профессиональной деятельности при условии соответствия полученных компетенций требованиям к квалификации педагогического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доля педагогических работников (в приведенных к целочисленным значениям ставок), имеющих опыт деятельности не менее трех лет в организациях, направление деятельности которых соответствует области профессиональной деятельности, указанной в </w:t>
      </w:r>
      <w:hyperlink w:history="0" w:anchor="P73" w:tooltip="1.14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17 Транспорт &lt;6&gt;.">
        <w:r>
          <w:rPr>
            <w:sz w:val="20"/>
            <w:color w:val="0000ff"/>
          </w:rPr>
          <w:t xml:space="preserve">пункте 1.14</w:t>
        </w:r>
      </w:hyperlink>
      <w:r>
        <w:rPr>
          <w:sz w:val="20"/>
        </w:rPr>
        <w:t xml:space="preserve"> ФГОС СПО, в общем числе педагогических работников, обеспечивающих освоение обучающимися профессиональных модулей образовательной программы, должна быть не менее 25 процентов.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4.6. Требование к финансовым условиям реализации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&lt;9&gt; и Федеральным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&lt;10&gt;.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Бюджетный </w:t>
      </w:r>
      <w:hyperlink w:history="0" r:id="rId24" w:tooltip="&quot;Бюджетный кодекс Российской Федерации&quot; от 31.07.1998 N 145-ФЗ (ред. от 21.11.2022) {КонсультантПлюс}">
        <w:r>
          <w:rPr>
            <w:sz w:val="20"/>
            <w:color w:val="0000ff"/>
          </w:rPr>
          <w:t xml:space="preserve">кодекс</w:t>
        </w:r>
      </w:hyperlink>
      <w:r>
        <w:rPr>
          <w:sz w:val="20"/>
        </w:rPr>
        <w:t xml:space="preserve"> Российской Федерации (Собрание законодательства Российской Федерации, 1998, N 31, ст. 3823; 2022, N 29, ст. 5305).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Собрание законодательства Российской Федерации, 2012, N 53, ст. 7598; 2022, N 29, ст. 5262.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ind w:firstLine="540"/>
        <w:jc w:val="both"/>
      </w:pPr>
      <w:r>
        <w:rPr>
          <w:sz w:val="20"/>
        </w:rPr>
        <w:t xml:space="preserve">4.7. Требования к применяемым механизмам оценки качества образовательной программы: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качество образовательной программы определяется в рамках системы внутренней оценки, а также системы внешней оценки на добровольной основе;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внешняя оценка качества образовательной программы может осуществляться в том числе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в целях признания качества и уровня подготовки выпускников, отвечающих требованиям профессиональных стандартов, требованиям рынка труда к специалистам соответствующего профиля.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10.10.2022 N 897</w:t>
            <w:br/>
            <w:t>"Об утверждении федерального государственного образовательного стандарт...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A585D92E4F7B82C482C6A8FFF96EDBD40022EB39F0EF6E396FA8043181E00F0D56545239F0984E3BE2E1C01E1C9012967BA43CA52C049A33265M" TargetMode = "External"/>
	<Relationship Id="rId8" Type="http://schemas.openxmlformats.org/officeDocument/2006/relationships/hyperlink" Target="consultantplus://offline/ref=9A585D92E4F7B82C482C6A8FFF96EDBD470826B09E0AF6E396FA8043181E00F0D56545239F0984E1BE2E1C01E1C9012967BA43CA52C049A33265M" TargetMode = "External"/>
	<Relationship Id="rId9" Type="http://schemas.openxmlformats.org/officeDocument/2006/relationships/hyperlink" Target="consultantplus://offline/ref=9A585D92E4F7B82C482C6A8FFF96EDBD400026B49F09F6E396FA8043181E00F0D56545239F098DE0BB2E1C01E1C9012967BA43CA52C049A33265M" TargetMode = "External"/>
	<Relationship Id="rId10" Type="http://schemas.openxmlformats.org/officeDocument/2006/relationships/hyperlink" Target="consultantplus://offline/ref=9A585D92E4F7B82C482C6A8FFF96EDBD400026B49F09F6E396FA8043181E00F0D56545239F0984E4BE2E1C01E1C9012967BA43CA52C049A33265M" TargetMode = "External"/>
	<Relationship Id="rId11" Type="http://schemas.openxmlformats.org/officeDocument/2006/relationships/hyperlink" Target="consultantplus://offline/ref=9A585D92E4F7B82C482C6A8FFF96EDBD400329B69E0EF6E396FA8043181E00F0D5654526945DD5A2E9284956BB9D0E3663A4403C6AM" TargetMode = "External"/>
	<Relationship Id="rId12" Type="http://schemas.openxmlformats.org/officeDocument/2006/relationships/hyperlink" Target="consultantplus://offline/ref=9A585D92E4F7B82C482C6A8FFF96EDBD400329B69E0EF6E396FA8043181E00F0D5654526945DD5A2E9284956BB9D0E3663A4403C6AM" TargetMode = "External"/>
	<Relationship Id="rId13" Type="http://schemas.openxmlformats.org/officeDocument/2006/relationships/hyperlink" Target="consultantplus://offline/ref=9A585D92E4F7B82C482C6A8FFF96EDBD40022CB7990EF6E396FA8043181E00F0D56545269B0F8FB2ED611D5DA49A122963BA40C84E3C60M" TargetMode = "External"/>
	<Relationship Id="rId14" Type="http://schemas.openxmlformats.org/officeDocument/2006/relationships/hyperlink" Target="consultantplus://offline/ref=9A585D92E4F7B82C482C6A8FFF96EDBD40022CB7990EF6E396FA8043181E00F0D56545239F0986E2B52E1C01E1C9012967BA43CA52C049A33265M" TargetMode = "External"/>
	<Relationship Id="rId15" Type="http://schemas.openxmlformats.org/officeDocument/2006/relationships/hyperlink" Target="consultantplus://offline/ref=9A585D92E4F7B82C482C6A8FFF96EDBD40002EBA9908F6E396FA8043181E00F0D56545239F0984E5BC2E1C01E1C9012967BA43CA52C049A33265M" TargetMode = "External"/>
	<Relationship Id="rId16" Type="http://schemas.openxmlformats.org/officeDocument/2006/relationships/hyperlink" Target="consultantplus://offline/ref=9A585D92E4F7B82C482C6A8FFF96EDBD46002BB49808F6E396FA8043181E00F0D56545239F0984EEBE2E1C01E1C9012967BA43CA52C049A33265M" TargetMode = "External"/>
	<Relationship Id="rId17" Type="http://schemas.openxmlformats.org/officeDocument/2006/relationships/hyperlink" Target="consultantplus://offline/ref=9A585D92E4F7B82C482C6A8FFF96EDBD46002BB49808F6E396FA8043181E00F0D56545239F0984E2BB2E1C01E1C9012967BA43CA52C049A33265M" TargetMode = "External"/>
	<Relationship Id="rId18" Type="http://schemas.openxmlformats.org/officeDocument/2006/relationships/hyperlink" Target="consultantplus://offline/ref=9A585D92E4F7B82C482C6A8FFF96EDBD40022CB7990EF6E396FA8043181E00F0D56545269E0C8FB2ED611D5DA49A122963BA40C84E3C60M" TargetMode = "External"/>
	<Relationship Id="rId19" Type="http://schemas.openxmlformats.org/officeDocument/2006/relationships/hyperlink" Target="consultantplus://offline/ref=9A585D92E4F7B82C482C6A8FFF96EDBD40022FB5980CF6E396FA8043181E00F0C7651D2F9E0F9AE7BE3B4A50A7396EM" TargetMode = "External"/>
	<Relationship Id="rId20" Type="http://schemas.openxmlformats.org/officeDocument/2006/relationships/hyperlink" Target="consultantplus://offline/ref=9A585D92E4F7B82C482C6A8FFF96EDBD47062EB6930CF6E396FA8043181E00F0D56545239F0984E2BB2E1C01E1C9012967BA43CA52C049A33265M" TargetMode = "External"/>
	<Relationship Id="rId21" Type="http://schemas.openxmlformats.org/officeDocument/2006/relationships/hyperlink" Target="consultantplus://offline/ref=9A585D92E4F7B82C482C6A8FFF96EDBD470728B69C0CF6E396FA8043181E00F0D56545239F0984E5BB2E1C01E1C9012967BA43CA52C049A33265M" TargetMode = "External"/>
	<Relationship Id="rId22" Type="http://schemas.openxmlformats.org/officeDocument/2006/relationships/hyperlink" Target="consultantplus://offline/ref=9A585D92E4F7B82C482C6A8FFF96EDBD47062ABB9901F6E396FA8043181E00F0D56545239F0985E5BB2E1C01E1C9012967BA43CA52C049A33265M" TargetMode = "External"/>
	<Relationship Id="rId23" Type="http://schemas.openxmlformats.org/officeDocument/2006/relationships/hyperlink" Target="consultantplus://offline/ref=9A585D92E4F7B82C482C6A8FFF96EDBD40022CB7990EF6E396FA8043181E00F0C7651D2F9E0F9AE7BE3B4A50A7396EM" TargetMode = "External"/>
	<Relationship Id="rId24" Type="http://schemas.openxmlformats.org/officeDocument/2006/relationships/hyperlink" Target="consultantplus://offline/ref=9A585D92E4F7B82C482C6A8FFF96EDBD40022EBB9200F6E396FA8043181E00F0C7651D2F9E0F9AE7BE3B4A50A7396E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10.10.2022 N 897
"Об утверждении федерального государственного образовательного стандарта среднего профессионального образования по специальности 25.02.09 Организация воздушных перевозок и авиационных работ"
(Зарегистрировано в Минюсте России 18.11.2022 N 71009)</dc:title>
  <dcterms:created xsi:type="dcterms:W3CDTF">2022-12-16T12:58:55Z</dcterms:created>
</cp:coreProperties>
</file>