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821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151902.04 Токарь-универсал"</w:t>
              <w:br/>
              <w:t xml:space="preserve">(Зарегистрировано в Минюсте России 20.08.2013 N 29543)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29543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821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151902.04 ТОКАРЬ-УНИВЕРСАЛ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151902.04 Токарь-универсал.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6.11.2009 N 59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4 Токарь-универсал&quot; (Зарегистрировано в Минюсте РФ 10.12.2009 N 1551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ноября 2009 г. N 599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151902.04 Токарь-универсал" (зарегистрирован Министерством юстиции Российской Федерации 10 декабря 2009 г., регистрационный N 15518).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151902.04 Токарь-универсал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821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151902.04 ТОКАРЬ-УНИВЕРСАЛ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12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1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151902.04 Токарь-универсал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151902.04 Токарь-универсал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среднего профессионального образования по профессии 151902.04 Токарь-универсал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9"/>
        <w:gridCol w:w="3459"/>
        <w:gridCol w:w="3460"/>
      </w:tblGrid>
      <w:tr>
        <w:tc>
          <w:tcPr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45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Токарь-карусельщик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Токарь-расточник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Токарь-револьверщик</w:t>
            </w:r>
          </w:p>
        </w:tc>
        <w:tc>
          <w:tcPr>
            <w:tcW w:w="3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34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03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рабочих, должностей служащих и тарифных разрядов (ОК 016-94) при формировании ППКРС: 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обработка деталей, металлических изделий с использованием основных технологических процессов машиностроения на металлорежущих станках токарной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 и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токарные станки различных конструкций и типов;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и универсальные 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контрольно-измерительные инструменты и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режущие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охлаждающие и смазывающие жидкости;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справочная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151902.04 Токарь-универсал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Токарная обработка заготовок, деталей, изделий и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Обработка деталей и изделий на токарно-карусельных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Растачивание и сверление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Обработка деталей на токарно-револьверных станках.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Токарная обработка заготовок, деталей, изделий и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Обрабатывать детали и инструменты на токарных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Проверять качество выполненных токарных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Обработка деталей и изделий на токарно-карусельных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Обрабатывать детали и изделия на токарно-карусельных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Проверять качество выполненных на токарно-карусельных станках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Растачивание и сверление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Растачивать и сверлить детали на расточных станках различных типов.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качество выполненных на расточных станках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Обработка деталей на токарно-револьверных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Обрабатывать детали на токарно-револьверных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Проверять качество выполненных на токарно-револьверных станках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42"/>
        <w:gridCol w:w="3654"/>
        <w:gridCol w:w="1405"/>
        <w:gridCol w:w="1406"/>
        <w:gridCol w:w="1405"/>
        <w:gridCol w:w="1406"/>
      </w:tblGrid>
      <w:tr>
        <w:tc>
          <w:tcPr>
            <w:tcW w:w="9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стандартам,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 и определять годность заданных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сопряжения (группы посадки) по данным чертежей,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графики полей допусков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калибровки сложных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сопряжениях в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размеры допусков для основных видов механической обработки и для деталей, поступающих на сборку;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калибрования простых и средней сложности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материалы, крепежные и нормализованные детали и узлы;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и свойства комплектуемых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настройки и регулирования контрольно-измерительных инструментов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обработанных поверхностей.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Технические измерения</w:t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vMerge w:val="continue"/>
          </w:tcPr>
          <w:p/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обрабатываемые детали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и чертежей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эскизов.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графика</w:t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vMerge w:val="continue"/>
          </w:tcPr>
          <w:p/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силы тока, напряжения, мощности электрического тока, сопротивления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постоянного и переменного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последовательного и параллельного соединения проводников и источников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электродвигателей, установленных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короткого замыкания;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заземление, зануление.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</w:t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механические испытания образцов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физико-химические методы исследования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таблицами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осуществления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материалов, использующихся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охлаждающих и смазывающих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</w:t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резания по справочнику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 по формулам, находить по справочникам при разных видах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технологический процесс обработки деталей, изделий на металлорежущих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механизмах, машинах и деталях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 и условия применения наиболее распространенных универсальных 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кинематические схемы и принцип работы, правила подналадки металлообрабатывающих станков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технического обслуживания и способы проверки, нормы точности станков токарной, фрезерной, расточной и шлифовальной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углы, правила заточки и установки резцов и сверл;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правила применения и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определения режимов резания по справочникам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грузоподъемное оборудование, применяемое в металлообрабатывающих цехах;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технологических процессов изготовления деталей и режимов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резания металлов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проектировании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технической документации.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  <w:t xml:space="preserve">ОП.05. Общие основы технологии металлообработки и работ на металлорежущих станках</w:t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Токарная обработка заготовок, деталей, изделий и инструментов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токарных станках различных конструкций и типов по обработке деталей различной конфигурации;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выполнения отдельных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тонкостенные детали с толщиной стенки до 1 мм и длиной до 200 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длинные валы и винты с применением подвижного и неподвижного люнетов, выполнять глубокое сверление и расточку отверстий пушечными сверлами и другим специальным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детали, требующие точного соблюдения размеров между центрами эксцентрично расположенных отверстий или мест обточки;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 из графитовых изделий для производства твердых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новые и перетачивать выработанные прокатные валки с калиброванием простых и средней сложности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обдирку и отделку шеек валков;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выполнять доводку сложных деталей и инструментов с большим числом переходов, требующих перестановок и комбинированного крепления при помощи различных приспособлений и точной выверки в нескольких плоскостях;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обтачивать наружные и внутренние фасонные поверхности и поверхности, сопряженные с криволинейными цилиндрическими поверхностями, с труднодоступными для обработки и измерений местами;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длинные валы и винты с применением нескольких люнетов;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и выполнять накатку многозаходных резьб различного профиля и шага;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окончательное нарезание червяков;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доводке инструмента, имеющего несколько сопрягающихся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сложные крупногабаритные детали и узлы на универсальном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заготовки из слюды и микалекса;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детали в различные приспособления и на угольнике с точной выверкой в горизонтальной и вертикальной плоскостях;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наружную и внутреннюю треугольную и прямоугольную резьбы метчиком или плашкой; нарезать наружную и внутреннюю однозаходную треугольную, прямоугольную и трапецеидальную резьбы резцом;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резьбы вихревыми головками; нарезать наружные и внутренние двухзаходные треугольные, прямоугольные, полукруглые и трапецеидальные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станками (токарно-центровыми) с высотой центров 650 - 2000 мм, оказывать помощь при установке и снятии деталей, при промерах под руководством токаря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токарно-центровыми станками с высотой центров 2000 мм и выше, расстоянием между центрами 10000 мм и более;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токарно-центровыми станками с высотой центров до 800 мм, имеющих более трех суппортов, под руководством токаря более высокой квалификации или самостоятельно;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токарные работы методом совмещенной плазменно-механической обработки под руководством токаря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выполнять доводку сложных деталей по 7 - 10 квалитетам на универсальных токарных станках, а также с применением метода совмещенной плазменно-механической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новых и переточку выработанных прокатных валков с калибровкой сложного профиля, в том числе выполнять указанные работы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необходимые расчеты для получения заданных конусных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подъемно-транспортным оборудованием с пола;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строповку и увязку грузов для подъема, перемещения, установки и складирования;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параметры обработанных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уборку стружки;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работы на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управления крупногабаритными станками, обслуживаемыми совместно с токарем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и выверки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применения, проверки на точность универсальных 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управления, подналадки и проверки на точность токарных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технологию контроля качества обработанных деталей.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металлообработки на токарных станках</w:t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деталей и изделий на токарно-карусельных станках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токарно-карусельных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обработанных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 и изделия на токарно-карусельных станках с применением режущего инструмента и универсальных приспособлений, на специализированных станках, налаженных для обработки определенных деталей или выполнения отдельных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обточке и расточке цилиндрических, конических и фасонных поверхностей с использованием в работе нескольких суппортов одновременно;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конусы за две подачи;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сложные детали с большим числом переходов и установкой их на универсальных токарно-карусельных станках различных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обтачивать наружные и внутренние криволинейные поверхности, сопряженные с криволинейными цилиндрическими поверхностями двумя подачами, а также конусные поверхности с труднодоступными для обработки и измерения местами;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детали в патрон или планшайбу с выверкой по угольнику и рейсмусу;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детали по индикатору во всех плоскостях;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детали с комбинированным креплением при помощи угольников, подкладок, планок;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токарно-карусельными станками с диаметром планшайбы от 4000 до 9000 мм под руководством токаря карусельщика более высокой квалификации; управлять токарно-карусельными станками с диаметром планшайбы от 8000 мм и выше;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токарно-карусельными станками с диаметром планшайбы свыше 7000 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токарные работы методом совмещенной плазменно-механической обработки под руководством токаря-карусельщика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сложные детали на токарно-карусельных станках различных типов по 7 - 10 квалитетам с большим числом переходов, а также с применением метода совмещенной плазменно-механической обработки; включать и выключать плазменную установку;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наладку станка плазменной установки и плазмотрона на совмещенную обработку;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сложные, крупногабаритные детали на уникальных токарно-карусельных станках, в том числе выполнять указанные работы по обработке деталей из труднообрабатываемых, высоколегированных и жаропрочных материалов методом совмещенной плазменно-механической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исправлять профиль цельнокатаных колес подвижного состава после прокатки;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колеса по заданным размерам;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колеса на станок, закреплять и снимать их со станка после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точное обтачивание, подрезание и растачивание в труднодоступных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обтачивать цельнокатаные колеса подвижного состава по кругу катания (по копиру), выполнять подрезку торцов наружной стороны ступиц, расточку отверстий;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сквозные и упорные ленточные резьбы по 8 - 10 квалитетам;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резьбы всех профилей по 6 - 7 квалитетам;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обработанных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управления станками, подналадки и проверки на точность токарно-карусельных станков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управления крупными станками, обслуживаемыми совместно с токарем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и правила применения шлифовальных кругов;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наладки плазмотрона;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на точность уникальных или других сложных карусельных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достижения заданных квалитетов и параметров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технологию контроля качества обработанных деталей.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работ на токарно-карусельных станках</w:t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Растачивание и сверление деталей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 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расточных станках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обработанных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 на универсальных расточных станках и станках глубокого сверления с применением режущего инструмента и универсальных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специализированных станках, а также на алмазно-расточных станках определенного типа, налаженных для обработки простых деталей с большим числом переходов и установок на универсальных, координатно-расточных, а также алмазно-расточных станках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расточными станками с диаметром шпинделя от 200 до 250 мм и выше под руководством токаря-расточника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детали и узлы на столе станка с точной выверкой в двух плоскостях;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детали, требующие точного соблюдения расстояния между центрами параллельно расположенных отверстий, допуска перпендикулярности или заданных узлов расположения осей;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растачивать с применением одной и двух борштанг одновременно и летучего суппорта; определять положения осей координат при растачивании нескольких отверстий, расположенных в двух плоскостях; выполнять наладку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сложные детали и узлы с большим числом обрабатываемых наружных и внутренних поверхностей, с труднодоступными для обработки и измерений местами и соблюдением размеров на универсальных расточных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 и узлы с выверкой в нескольких плоскостях с применением стоек, борштанг, летучих суппортов и головок;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резьбы различного профиля и шага;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координатное растачивание отверстий в приспособлениях и без них с передвижением по координатам при помощи индикаторов и микрометрического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растачивать отверстия на алмазно-расточных станках всех типов в сложных деталях по 6 квалитету;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обработанных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углы и правила заточки и установки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подналадки и проверки на точность расточных станков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управления крупногабаритными станками, обслуживаемыми совместно с токарем-расточником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универсальных и специальных приспособлений, правила проверки на точность;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заточки и установки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наладки специализированных борштанг;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технологию проведения контроля качества обработанных деталей.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работ на токарно-расточных станках</w:t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деталей на токарно-револьверных станках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токарно-револьверных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 различной сложности на токарно-револьверных станках различных конструкций с применением режущего инструмента и универсальных приспособлений, на станках, налаженных для обработки определенных деталей или для выполнения отдельных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наружную и внутреннюю треугольную и прямоугольную резьбы метчиками и плашками;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подналадку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наружные и внутренние двухзаходные треугольные, прямоугольные, полукруглые, пилообразные и однозаходные трапецеидальные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деталей, обработанных на токарно-револьверных станках различных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подналадки и проверки на точность токарно-револьверных станков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геометрию, правила заточки и установки режущего инструмента, изготовленного из инструментальных сталей или с пластиной из твердых сплавов либо керамической;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технологию контроля качества деталей, обрабатываемых на токарно-револьверных станках различных типов.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работ на токарно-револьверных станках</w:t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65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405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  <w:tc>
          <w:tcPr>
            <w:tcW w:w="1406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756/1476</w:t>
            </w:r>
          </w:p>
        </w:tc>
        <w:tc>
          <w:tcPr>
            <w:tcW w:w="140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blPrEx>
          <w:tblBorders>
            <w:insideH w:val="nil"/>
          </w:tblBorders>
        </w:tblPrEx>
        <w:tc>
          <w:tcPr>
            <w:tcW w:w="9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2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9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05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40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2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9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05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40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2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6"/>
        <w:gridCol w:w="1474"/>
      </w:tblGrid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9" w:tooltip="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ОК 016-94) при формировании ППКРС: предусмотрено освоение всех вышеперечисленных профессий.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22.08.2014 N 1039)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программы подготовки квалифицированных рабочих, служащих по профессии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2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металлообработки и работы в металлообрабатывающих цехах.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отработки координации движения рук при токарной обработке;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демонстрационное устройство токарного станка;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отработки навыков управления суппортом токарного станка.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821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821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3A9C1A8E087D382E7A862A4BF2703A67E1B6B79750A5B6C3208A799A5A6E4C4D7D3DED06B3C757D78B1E89A66A51FDF4C62C789C5B0158941Q1O" TargetMode = "External"/>
	<Relationship Id="rId8" Type="http://schemas.openxmlformats.org/officeDocument/2006/relationships/hyperlink" Target="consultantplus://offline/ref=23A9C1A8E087D382E7A862A4BF2703A67C19647A750B5B6C3208A799A5A6E4C4D7D3DED06B3C707B79B1E89A66A51FDF4C62C789C5B0158941Q1O" TargetMode = "External"/>
	<Relationship Id="rId9" Type="http://schemas.openxmlformats.org/officeDocument/2006/relationships/hyperlink" Target="consultantplus://offline/ref=23A9C1A8E087D382E7A862A4BF2703A67C1E6A7E7A0C5B6C3208A799A5A6E4C4D7D3DED06B3C757E7DB1E89A66A51FDF4C62C789C5B0158941Q1O" TargetMode = "External"/>
	<Relationship Id="rId10" Type="http://schemas.openxmlformats.org/officeDocument/2006/relationships/hyperlink" Target="consultantplus://offline/ref=23A9C1A8E087D382E7A862A4BF2703A67618677A710506663A51AB9BA2A9BBC1D0C2DED06822747E63B8BCC942Q0O" TargetMode = "External"/>
	<Relationship Id="rId11" Type="http://schemas.openxmlformats.org/officeDocument/2006/relationships/hyperlink" Target="consultantplus://offline/ref=23A9C1A8E087D382E7A862A4BF2703A67C1E6A7E7A0C5B6C3208A799A5A6E4C4D7D3DED06B3C757E7DB1E89A66A51FDF4C62C789C5B0158941Q1O" TargetMode = "External"/>
	<Relationship Id="rId12" Type="http://schemas.openxmlformats.org/officeDocument/2006/relationships/hyperlink" Target="consultantplus://offline/ref=23A9C1A8E087D382E7A862A4BF2703A67E1B6B79750A5B6C3208A799A5A6E4C4D7D3DED06B3C757D78B1E89A66A51FDF4C62C789C5B0158941Q1O" TargetMode = "External"/>
	<Relationship Id="rId13" Type="http://schemas.openxmlformats.org/officeDocument/2006/relationships/hyperlink" Target="consultantplus://offline/ref=23A9C1A8E087D382E7A862A4BF2703A67C19647A750B5B6C3208A799A5A6E4C4D7D3DED06B3C707B79B1E89A66A51FDF4C62C789C5B0158941Q1O" TargetMode = "External"/>
	<Relationship Id="rId14" Type="http://schemas.openxmlformats.org/officeDocument/2006/relationships/hyperlink" Target="consultantplus://offline/ref=23A9C1A8E087D382E7A862A4BF2703A67B1E617D71085B6C3208A799A5A6E4C4D7D3DED06B3C77797AB1E89A66A51FDF4C62C789C5B0158941Q1O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23A9C1A8E087D382E7A862A4BF2703A67E1E67707B085B6C3208A799A5A6E4C4D7D3DED06B3C757D7DB1E89A66A51FDF4C62C789C5B0158941Q1O" TargetMode = "External"/>
	<Relationship Id="rId18" Type="http://schemas.openxmlformats.org/officeDocument/2006/relationships/hyperlink" Target="consultantplus://offline/ref=23A9C1A8E087D382E7A862A4BF2703A67C19647A750B5B6C3208A799A5A6E4C4D7D3DED06B3C707B78B1E89A66A51FDF4C62C789C5B0158941Q1O" TargetMode = "External"/>
	<Relationship Id="rId19" Type="http://schemas.openxmlformats.org/officeDocument/2006/relationships/hyperlink" Target="consultantplus://offline/ref=23A9C1A8E087D382E7A862A4BF2703A67E1E67707B085B6C3208A799A5A6E4C4D7D3DED06B3C757D7DB1E89A66A51FDF4C62C789C5B0158941Q1O" TargetMode = "External"/>
	<Relationship Id="rId20" Type="http://schemas.openxmlformats.org/officeDocument/2006/relationships/hyperlink" Target="consultantplus://offline/ref=23A9C1A8E087D382E7A862A4BF2703A67B1F607D710C5B6C3208A799A5A6E4C4C5D386DC6A3F6B7D7FA4BECB204FQ2O" TargetMode = "External"/>
	<Relationship Id="rId21" Type="http://schemas.openxmlformats.org/officeDocument/2006/relationships/hyperlink" Target="consultantplus://offline/ref=23A9C1A8E087D382E7A862A4BF2703A67C19647A750B5B6C3208A799A5A6E4C4D7D3DED06B3C707B7BB1E89A66A51FDF4C62C789C5B0158941Q1O" TargetMode = "External"/>
	<Relationship Id="rId22" Type="http://schemas.openxmlformats.org/officeDocument/2006/relationships/hyperlink" Target="consultantplus://offline/ref=23A9C1A8E087D382E7A862A4BF2703A67C19647A750B5B6C3208A799A5A6E4C4D7D3DED06B3C707478B1E89A66A51FDF4C62C789C5B0158941Q1O" TargetMode = "External"/>
	<Relationship Id="rId23" Type="http://schemas.openxmlformats.org/officeDocument/2006/relationships/hyperlink" Target="consultantplus://offline/ref=23A9C1A8E087D382E7A862A4BF2703A67C19647A750B5B6C3208A799A5A6E4C4D7D3DED06B3C707475B1E89A66A51FDF4C62C789C5B0158941Q1O" TargetMode = "External"/>
	<Relationship Id="rId24" Type="http://schemas.openxmlformats.org/officeDocument/2006/relationships/hyperlink" Target="consultantplus://offline/ref=23A9C1A8E087D382E7A862A4BF2703A67C19647A750B5B6C3208A799A5A6E4C4D7D3DED06B3C70757FB1E89A66A51FDF4C62C789C5B0158941Q1O" TargetMode = "External"/>
	<Relationship Id="rId25" Type="http://schemas.openxmlformats.org/officeDocument/2006/relationships/hyperlink" Target="consultantplus://offline/ref=23A9C1A8E087D382E7A862A4BF2703A67E1E67707B085B6C3208A799A5A6E4C4D7D3DED06B3C757D7DB1E89A66A51FDF4C62C789C5B0158941Q1O" TargetMode = "External"/>
	<Relationship Id="rId26" Type="http://schemas.openxmlformats.org/officeDocument/2006/relationships/hyperlink" Target="consultantplus://offline/ref=23A9C1A8E087D382E7A862A4BF2703A67E1B6B79750A5B6C3208A799A5A6E4C4D7D3DED06B3C757D78B1E89A66A51FDF4C62C789C5B0158941Q1O" TargetMode = "External"/>
	<Relationship Id="rId27" Type="http://schemas.openxmlformats.org/officeDocument/2006/relationships/hyperlink" Target="consultantplus://offline/ref=23A9C1A8E087D382E7A862A4BF2703A67B1E617D71085B6C3208A799A5A6E4C4C5D386DC6A3F6B7D7FA4BECB204FQ2O" TargetMode = "External"/>
	<Relationship Id="rId28" Type="http://schemas.openxmlformats.org/officeDocument/2006/relationships/hyperlink" Target="consultantplus://offline/ref=23A9C1A8E087D382E7A862A4BF2703A67B1F607D710C5B6C3208A799A5A6E4C4D7D3DED2623C7E282CFEE9C623F30CDF4D62C48BD94BQ0O" TargetMode = "External"/>
	<Relationship Id="rId29" Type="http://schemas.openxmlformats.org/officeDocument/2006/relationships/hyperlink" Target="consultantplus://offline/ref=23A9C1A8E087D382E7A862A4BF2703A67B1E617D71085B6C3208A799A5A6E4C4D7D3DED06B3C7C7D7DB1E89A66A51FDF4C62C789C5B0158941Q1O" TargetMode = "External"/>
	<Relationship Id="rId30" Type="http://schemas.openxmlformats.org/officeDocument/2006/relationships/hyperlink" Target="consultantplus://offline/ref=23A9C1A8E087D382E7A862A4BF2703A67B1E617D71085B6C3208A799A5A6E4C4D7D3DED06B3C7D7C7EB1E89A66A51FDF4C62C789C5B0158941Q1O" TargetMode = "External"/>
	<Relationship Id="rId31" Type="http://schemas.openxmlformats.org/officeDocument/2006/relationships/hyperlink" Target="consultantplus://offline/ref=23A9C1A8E087D382E7A862A4BF2703A67B1E617D71085B6C3208A799A5A6E4C4D7D3DED06B3C7C7D7FB1E89A66A51FDF4C62C789C5B0158941Q1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821
(ред. от 21.10.2019)
"Об утверждении федерального государственного образовательного стандарта среднего профессионального образования по профессии 151902.04 Токарь-универсал"
(Зарегистрировано в Минюсте России 20.08.2013 N 29543)</dc:title>
  <dcterms:created xsi:type="dcterms:W3CDTF">2022-12-13T14:16:56Z</dcterms:created>
</cp:coreProperties>
</file>