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Минобрнауки России от 02.08.2013 N 900</w:t>
              <w:br/>
              <w:t xml:space="preserve">(ред. от 21.10.2019)</w:t>
              <w:br/>
              <w:t xml:space="preserve">"Об утверждении федерального государственного образовательного стандарта среднего профессионального образования по профессии 240700.01 Лаборант-аналитик"</w:t>
              <w:br/>
              <w:t xml:space="preserve">(Зарегистрировано в Минюсте России 20.08.2013 N 29555)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16.12.2022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</w:pPr>
      <w:r>
        <w:rPr>
          <w:sz w:val="20"/>
        </w:rPr>
        <w:t xml:space="preserve">Зарегистрировано в Минюсте России 20 августа 2013 г. N 29555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ОБРАЗОВАНИЯ И НАУКИ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2 августа 2013 г. N 900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</w:t>
      </w:r>
    </w:p>
    <w:p>
      <w:pPr>
        <w:pStyle w:val="2"/>
        <w:jc w:val="center"/>
      </w:pPr>
      <w:r>
        <w:rPr>
          <w:sz w:val="20"/>
        </w:rPr>
        <w:t xml:space="preserve">ФЕДЕРАЛЬНОГО ГОСУДАРСТВЕННОГО ОБРАЗОВАТЕЛЬНОГО СТАНДАРТА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ПРОФЕССИИ</w:t>
      </w:r>
    </w:p>
    <w:p>
      <w:pPr>
        <w:pStyle w:val="2"/>
        <w:jc w:val="center"/>
      </w:pPr>
      <w:r>
        <w:rPr>
          <w:sz w:val="20"/>
        </w:rPr>
        <w:t xml:space="preserve">240700.01 ЛАБОРАНТ-АНАЛИТИК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Приказ Минобрнауки России от 25.03.2015 N 272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23.04.2015 N 37021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Минобрнауки России от 25.03.2015 N 272,</w:t>
            </w:r>
          </w:p>
          <w:p>
            <w:pPr>
              <w:pStyle w:val="0"/>
              <w:jc w:val="center"/>
            </w:pPr>
            <w:hyperlink w:history="0" r:id="rId8" w:tooltip="Приказ Минпросвещения России от 21.10.2019 N 569 &quot;О внесении изменений в некоторые приказы Министерства образования и науки Российской Федерации, касающиеся федеральных государственных образовательных стандартов среднего профессионального образования&quot; (Зарегистрировано в Минюсте России 26.11.2019 N 56633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Минпросвещения России от 21.10.2019 N 569)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r>
        <w:rPr>
          <w:sz w:val="20"/>
        </w:rPr>
        <w:t xml:space="preserve">пунктом 5.2.41</w:t>
      </w:r>
      <w:r>
        <w:rPr>
          <w:sz w:val="20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2923),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прилагаемый федеральный государственный образовательный </w:t>
      </w:r>
      <w:hyperlink w:history="0" w:anchor="P38" w:tooltip="ФЕДЕРАЛЬНЫЙ ГОСУДАРСТВЕННЫЙ ОБРАЗОВАТЕЛЬНЫЙ СТАНДАРТ">
        <w:r>
          <w:rPr>
            <w:sz w:val="20"/>
            <w:color w:val="0000ff"/>
          </w:rPr>
          <w:t xml:space="preserve">стандарт</w:t>
        </w:r>
      </w:hyperlink>
      <w:r>
        <w:rPr>
          <w:sz w:val="20"/>
        </w:rPr>
        <w:t xml:space="preserve"> среднего профессионального образования по профессии 240700.01 Лаборант-аналитик.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Признать утратившим силу </w:t>
      </w:r>
      <w:hyperlink w:history="0" r:id="rId9" w:tooltip="Приказ Минобрнауки РФ от 22.10.2009 N 455 &quot;Об утверждении и введении в действие федерального государственного образовательного стандарта начального профессионального образования по профессии 240700.01 Лаборант-аналитик&quot; (Зарегистрировано в Минюсте РФ 08.12.2009 N 15424)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образования и науки Российской Федерации от 22 октября 2009 г. N 455 "Об утверждении и введении в действие федерального государственного образовательного стандарта начального профессионального образования по профессии 240700.01 Лаборант-аналитик" (зарегистрирован Министерством юстиции Российской Федерации 8 декабря 2009 г., регистрационный N 15424).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Настоящий приказ вступает в силу с 1 сентября 2013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Прием на обучение в соответствии с утвержденным настоящим приказом федеральным государственным образовательным </w:t>
      </w:r>
      <w:hyperlink w:history="0" w:anchor="P38" w:tooltip="ФЕДЕРАЛЬНЫЙ ГОСУДАРСТВЕННЫЙ ОБРАЗОВАТЕЛЬНЫЙ СТАНДАРТ">
        <w:r>
          <w:rPr>
            <w:sz w:val="20"/>
            <w:color w:val="0000ff"/>
          </w:rPr>
          <w:t xml:space="preserve">стандартом</w:t>
        </w:r>
      </w:hyperlink>
      <w:r>
        <w:rPr>
          <w:sz w:val="20"/>
        </w:rPr>
        <w:t xml:space="preserve"> среднего профессионального образования по профессии 240700.01 Лаборант-аналитик прекращается 1 января 2021 года.</w:t>
      </w:r>
    </w:p>
    <w:p>
      <w:pPr>
        <w:pStyle w:val="0"/>
        <w:jc w:val="both"/>
      </w:pPr>
      <w:r>
        <w:rPr>
          <w:sz w:val="20"/>
        </w:rPr>
        <w:t xml:space="preserve">(п. 4 введен </w:t>
      </w:r>
      <w:hyperlink w:history="0" r:id="rId10" w:tooltip="Приказ Минпросвещения России от 21.10.2019 N 569 &quot;О внесении изменений в некоторые приказы Министерства образования и науки Российской Федерации, касающиеся федеральных государственных образовательных стандартов среднего профессионального образования&quot; (Зарегистрировано в Минюсте России 26.11.2019 N 56633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21.10.2019 N 569)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Д.В.ЛИВАНОВ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приказом Министерства образования</w:t>
      </w:r>
    </w:p>
    <w:p>
      <w:pPr>
        <w:pStyle w:val="0"/>
        <w:jc w:val="right"/>
      </w:pPr>
      <w:r>
        <w:rPr>
          <w:sz w:val="20"/>
        </w:rPr>
        <w:t xml:space="preserve">и науки 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2 августа 2013 г. N 900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38" w:name="P38"/>
    <w:bookmarkEnd w:id="38"/>
    <w:p>
      <w:pPr>
        <w:pStyle w:val="2"/>
        <w:jc w:val="center"/>
      </w:pPr>
      <w:r>
        <w:rPr>
          <w:sz w:val="20"/>
        </w:rPr>
        <w:t xml:space="preserve">ФЕДЕРАЛЬНЫЙ ГОСУДАРСТВЕННЫЙ ОБРАЗОВАТЕЛЬНЫЙ СТАНДАРТ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ПРОФЕССИИ</w:t>
      </w:r>
    </w:p>
    <w:p>
      <w:pPr>
        <w:pStyle w:val="2"/>
        <w:jc w:val="center"/>
      </w:pPr>
      <w:r>
        <w:rPr>
          <w:sz w:val="20"/>
        </w:rPr>
        <w:t xml:space="preserve">240700.01 ЛАБОРАНТ-АНАЛИТИК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1" w:tooltip="Приказ Минобрнауки России от 25.03.2015 N 272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23.04.2015 N 37021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Минобрнауки России от 25.03.2015 N 272)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ОБЛАСТЬ ПРИМЕНЕНИЯ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профессии 240700.01 Лаборант-аналитик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квалифицированных рабочих, служащих по данной профессии, на территории Российской Федерации (далее - образовательная организация).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Право на реализацию программы подготовки квалифицированных рабочих, служащих по профессии 240700.01 Лаборант-аналитик имеет образовательная организация при наличии соответствующей лицензии на осуществление образовательной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Возможна сетевая форма реализации программы подготовки квалифицированных рабочих, служащих с использованием ресурсов нескольких образовательных организаций. В реализации программы подготовки квалифицированных рабочих, служащих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квалифицированных рабочих, служащих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12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 1 статьи 15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ИСПОЛЬЗУЕМЫЕ СОКРАЩЕНИЯ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настоящем стандарте используются следующие сокращения: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 - среднее профессиональное образование;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ФГОС СПО - федеральный государственный образовательный стандарт среднего профессионального образования;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ППКРС - программа подготовки квалифицированных рабочих, служащих по профессии;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- общая компетенция;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- профессиональная компетенция;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ПМ - профессиональный модуль;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МДК - междисциплинарный курс.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III. ХАРАКТЕРИСТИКА ПОДГОТОВКИ ПО ПРОФЕССИИ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Сроки получения СПО по профессии 240700.01 Лаборант-аналитик в очной форме обучения и соответствующие квалификации приводятся в Таблице 1.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1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359"/>
        <w:gridCol w:w="4542"/>
        <w:gridCol w:w="2761"/>
      </w:tblGrid>
      <w:tr>
        <w:tc>
          <w:tcPr>
            <w:tcW w:w="23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Уровень образования, необходимый для приема на обучение по ППКРС</w:t>
            </w:r>
          </w:p>
        </w:tc>
        <w:tc>
          <w:tcPr>
            <w:tcW w:w="454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квалификации (профессий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по Общероссийскому </w:t>
            </w:r>
            <w:hyperlink w:history="0" r:id="rId13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классификатору</w:t>
              </w:r>
            </w:hyperlink>
            <w:r>
              <w:rPr>
                <w:sz w:val="20"/>
              </w:rPr>
              <w:t xml:space="preserve"> профессий рабочих, должностей служащих и тарифных разрядов) (ОК 016-94) </w:t>
            </w:r>
            <w:hyperlink w:history="0" w:anchor="P87" w:tooltip="&lt;1&gt; ФГОС СПО в части требований к результатам освоения ППКРС ориентирован на присвоение выпускнику квалификации выше средней квалификации для данной профессии.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  <w:tc>
          <w:tcPr>
            <w:tcW w:w="27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получения СПО по ППКРС в очной форме обучения </w:t>
            </w:r>
            <w:hyperlink w:history="0" w:anchor="P88" w:tooltip="&lt;2&gt; Независимо от применяемых образовательных технологий.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</w:tr>
      <w:tr>
        <w:tc>
          <w:tcPr>
            <w:tcW w:w="23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среднее общее образование</w:t>
            </w:r>
          </w:p>
        </w:tc>
        <w:tc>
          <w:tcPr>
            <w:tcW w:w="4542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Лаборант-микробиолог</w:t>
            </w:r>
          </w:p>
          <w:p>
            <w:pPr>
              <w:pStyle w:val="0"/>
            </w:pPr>
            <w:r>
              <w:rPr>
                <w:sz w:val="20"/>
              </w:rPr>
              <w:t xml:space="preserve">Лаборант-полярографист</w:t>
            </w:r>
          </w:p>
          <w:p>
            <w:pPr>
              <w:pStyle w:val="0"/>
            </w:pPr>
            <w:r>
              <w:rPr>
                <w:sz w:val="20"/>
              </w:rPr>
              <w:t xml:space="preserve">Лаборант пробирного анализа</w:t>
            </w:r>
          </w:p>
          <w:p>
            <w:pPr>
              <w:pStyle w:val="0"/>
            </w:pPr>
            <w:r>
              <w:rPr>
                <w:sz w:val="20"/>
              </w:rPr>
              <w:t xml:space="preserve">Лаборант спектрального анализа</w:t>
            </w:r>
          </w:p>
          <w:p>
            <w:pPr>
              <w:pStyle w:val="0"/>
            </w:pPr>
            <w:r>
              <w:rPr>
                <w:sz w:val="20"/>
              </w:rPr>
              <w:t xml:space="preserve">Лаборант химического анализа</w:t>
            </w:r>
          </w:p>
          <w:p>
            <w:pPr>
              <w:pStyle w:val="0"/>
            </w:pPr>
            <w:r>
              <w:rPr>
                <w:sz w:val="20"/>
              </w:rPr>
              <w:t xml:space="preserve">Лаборант химико-бактериологического анализа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Пробоотборщик</w:t>
            </w:r>
          </w:p>
        </w:tc>
        <w:tc>
          <w:tcPr>
            <w:tcW w:w="27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 мес.</w:t>
            </w:r>
          </w:p>
        </w:tc>
      </w:tr>
      <w:tr>
        <w:tblPrEx>
          <w:tblBorders>
            <w:insideH w:val="nil"/>
          </w:tblBorders>
        </w:tblPrEx>
        <w:tc>
          <w:tcPr>
            <w:tcW w:w="2359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основное общее образование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276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года 10 мес. </w:t>
            </w:r>
            <w:hyperlink w:history="0" w:anchor="P89" w:tooltip="&lt;3&gt; Образовательные организации, осуществляющие подготовку квалифицированных рабочих, служащих на базе основного общего образования, реализуют федеральный государственный образовательный стандарт среднего общего образования в пределах ППКРС, в том числе с учетом получаемой профессии СПО.">
              <w:r>
                <w:rPr>
                  <w:sz w:val="20"/>
                  <w:color w:val="0000ff"/>
                </w:rPr>
                <w:t xml:space="preserve">&lt;3&gt;</w:t>
              </w:r>
            </w:hyperlink>
          </w:p>
        </w:tc>
      </w:tr>
      <w:tr>
        <w:tblPrEx>
          <w:tblBorders>
            <w:insideH w:val="nil"/>
          </w:tblBorders>
        </w:tblPrEx>
        <w:tc>
          <w:tcPr>
            <w:gridSpan w:val="3"/>
            <w:tcW w:w="9662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4" w:tooltip="Приказ Минобрнауки России от 25.03.2015 N 272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23.04.2015 N 37021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Минобрнауки России от 25.03.2015 N 272)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87" w:name="P87"/>
    <w:bookmarkEnd w:id="8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ФГОС СПО в части требований к результатам освоения ППКРС ориентирован на присвоение выпускнику квалификации выше средней квалификации для данной профессии.</w:t>
      </w:r>
    </w:p>
    <w:bookmarkStart w:id="88" w:name="P88"/>
    <w:bookmarkEnd w:id="8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Независимо от применяемых образовательных технологий.</w:t>
      </w:r>
    </w:p>
    <w:bookmarkStart w:id="89" w:name="P89"/>
    <w:bookmarkEnd w:id="8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&lt;3&gt; Образовательные организации, осуществляющие подготовку квалифицированных рабочих, служащих на базе основного общего образования, реализуют федеральный государственный образовательный стандарт среднего общего образования в пределах ППКРС, в том числе с учетом получаемой профессии СПО.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91" w:name="P91"/>
    <w:bookmarkEnd w:id="91"/>
    <w:p>
      <w:pPr>
        <w:pStyle w:val="0"/>
        <w:ind w:firstLine="540"/>
        <w:jc w:val="both"/>
      </w:pPr>
      <w:r>
        <w:rPr>
          <w:sz w:val="20"/>
        </w:rPr>
        <w:t xml:space="preserve">3.2. Рекомендуемый перечень возможных сочетаний профессий рабочих, должностей служащих по Общероссийскому </w:t>
      </w:r>
      <w:hyperlink w:history="0" r:id="rId15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<w:r>
          <w:rPr>
            <w:sz w:val="20"/>
            <w:color w:val="0000ff"/>
          </w:rPr>
          <w:t xml:space="preserve">классификатору</w:t>
        </w:r>
      </w:hyperlink>
      <w:r>
        <w:rPr>
          <w:sz w:val="20"/>
        </w:rPr>
        <w:t xml:space="preserve"> профессий рабочих, должностей служащих и тарифных разрядов (ОК 016-94) при формировании ППКРС: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лаборант спектрального анализа - лаборант химического анализа;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лаборант-полярографист - лаборант спектрального анализа;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лаборант химико-бактериологического анализа - лаборант химического анализа;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лаборант пробирного анализа - пробоотборщик.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Сроки получения СПО по ППКРС независимо от применяемых образовательных технологий увеличиваются: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для обучающихся по очно-заочной форме обучения: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среднего общего образования - не более чем на 1 год;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основного общего образования - не более чем на 1,5 года;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для инвалидов и лиц с ограниченными возможностями здоровья - не более чем на 6 месяцев.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IV. ХАРАКТЕРИСТИКА ПРОФЕССИОНАЛЬНОЙ</w:t>
      </w:r>
    </w:p>
    <w:p>
      <w:pPr>
        <w:pStyle w:val="2"/>
        <w:jc w:val="center"/>
      </w:pPr>
      <w:r>
        <w:rPr>
          <w:sz w:val="20"/>
        </w:rPr>
        <w:t xml:space="preserve">ДЕЯТЕЛЬНОСТИ ВЫПУСКНИКОВ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Область профессиональной деятельности выпускников: анализ состава и свойств материалов с использованием химических и физико-химических методов анализа.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Объектами профессиональной деятельности выпускников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природные и промышленные материалы;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лабораторное оборудование;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посуда и реактивы;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нормативная и техническая документация.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Обучающийся по профессии 240700.01 Лаборант-аналитик готовится к следующим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4.3.1. Подготовка химической посуды, приборов и лабораторного оборудования к проведению анализа.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4.3.2. Приготовление проб и растворов различной концентрации.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4.3.3. Выполнение качественных и количественных анализов природных и промышленных материалов с применением химических и физико-химических методов анализа.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4.3.4. Обработка и оформление результатов анализа.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4.3.5. Соблюдение правил и приемов техники безопасности, промышленной санитарии и пожарной безопасности.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V. ТРЕБОВАНИЯ К РЕЗУЛЬТАТАМ ОСВОЕНИЯ ПРОГРАММЫ ПОДГОТОВКИ</w:t>
      </w:r>
    </w:p>
    <w:p>
      <w:pPr>
        <w:pStyle w:val="2"/>
        <w:jc w:val="center"/>
      </w:pPr>
      <w:r>
        <w:rPr>
          <w:sz w:val="20"/>
        </w:rPr>
        <w:t xml:space="preserve">КВАЛИФИЦИРОВАННЫХ РАБОЧИХ, СЛУЖАЩИХ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5.1. Выпускник, освоивший ППКРС, должен обладать общими компетенциями, включающими в себя способность: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1. Понимать сущность и социальную значимость будущей профессии, проявлять к ней устойчивый интерес.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2. Организовывать собственную деятельность, исходя из цели и способов ее достижения, определенных руководителем.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4. Осуществлять поиск информации, необходимой для эффективного выполнения профессиональных задач.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5. Использовать информационно-коммуникационные технологии в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6. Работать в команде, эффективно общаться с коллегами, руководством, клиентами.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7. Исполнять воинскую обязанность &lt;*&gt;, в том числе с применением полученных профессиональных знаний (для юношей).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&lt;*&gt; В соответствии с Федеральным </w:t>
      </w:r>
      <w:hyperlink w:history="0" r:id="rId16" w:tooltip="Федеральный закон от 28.03.1998 N 53-ФЗ (ред. от 24.09.2022) &quot;О воинской обязанности и военной службе&quot; (с изм. и доп., вступ. в силу с 13.10.202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28.03.1998 N 53-ФЗ "О воинской обязанности и военной службе".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5.2. Выпускник, освоивший ППКРС, должен обладать профессиональными компетенциями, соответствующими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5.2.1. Подготовка химической посуды, приборов и лабораторного оборудования к проведению анализа.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1.1. Пользоваться лабораторной посудой различного назначения, мыть и сушить посуду в соответствии с требованиями химического анализа.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1.2. Выбирать приборы и оборудование для проведения анализов.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1.3. Подготавливать для анализа приборы и оборудование.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5.2.2. Приготовление проб и растворов различной концентрации.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2.1. Готовить растворы точной и приблизительной концентрации.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2.2. Определять концентрации растворов различными способами.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2.3. Отбирать и готовить пробы к проведению анализов.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5.2.3. Выполнение качественных и количественных анализов природных и промышленных материалов с применением химических и физико-химических методов анализа.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3.1. Подготавливать пробу к анализам.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3.2. Устанавливать градуировочную характеристику для химических и физико-химических методов анализа.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3.3. Выполнять анализы в соответствии с методиками.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5.2.4. Обработка и оформление результатов анализа.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4.1. Снимать показания приборов.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4.2. Рассчитывать результаты измерений.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4.3. Рассчитывать погрешность результата анализа.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4.4. Оформлять протоколы анализа.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5.2.5. Соблюдение правил и приемов техники безопасности, промышленной санитарии и пожарной безопасности.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5.1. Владеть приемами техники безопасности при проведении химических анализов.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5.2. Пользоваться первичными средствами пожаротушения.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5.3. Оказывать первую помощь пострадавшему.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VI. ТРЕБОВАНИЯ К СТРУКТУРЕ ПРОГРАММЫ ПОДГОТОВКИ</w:t>
      </w:r>
    </w:p>
    <w:p>
      <w:pPr>
        <w:pStyle w:val="2"/>
        <w:jc w:val="center"/>
      </w:pPr>
      <w:r>
        <w:rPr>
          <w:sz w:val="20"/>
        </w:rPr>
        <w:t xml:space="preserve">КВАЛИФИЦИРОВАННЫХ РАБОЧИХ, СЛУЖАЩИХ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6.1. ППКРС предусматривает изучение следующих учебных циклов: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общепрофессионального;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профессионального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 разделов: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физическая культура;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учебная практика;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промежуточная аттестация;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государственная итоговая аттестация.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6.2. Обязательная часть ППКРС должна составлять около 80 процентов от общего объема времени, отведенного на ее освоение. Вариативная часть (около 20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Общепрофессиональный учебный цикл состоит из общепрофессиональных дисциплин, профессиональный учебный цикл состоит из профессиональных модулей в соответствии с видами деятельности, соответствующими присваиваемым квалификациям.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Обязательная часть профессионального учебного цикла ППКРС должна предусматривать изучение дисциплины "Безопасность жизнедеятельности". Объем часов на дисциплину "Безопасность жизнедеятельности" составляет 2 часа в неделю в период теоретического обучения (обязательной части учебных циклов), но не более 68 часов, из них на освоение основ военной службы - 70 процентов от общего объема времени, отведенного на указанную дисциплину.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6.3. Образовательной организацией при определении структуры ППКРС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Структура программы подготовки квалифицированных</w:t>
      </w:r>
    </w:p>
    <w:p>
      <w:pPr>
        <w:pStyle w:val="2"/>
        <w:jc w:val="center"/>
      </w:pPr>
      <w:r>
        <w:rPr>
          <w:sz w:val="20"/>
        </w:rPr>
        <w:t xml:space="preserve">рабочих, служащих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Таблица 3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140"/>
        <w:gridCol w:w="4082"/>
        <w:gridCol w:w="1077"/>
        <w:gridCol w:w="1077"/>
        <w:gridCol w:w="2279"/>
        <w:gridCol w:w="1321"/>
      </w:tblGrid>
      <w:tr>
        <w:tc>
          <w:tcPr>
            <w:tcW w:w="11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</w:t>
            </w:r>
          </w:p>
        </w:tc>
        <w:tc>
          <w:tcPr>
            <w:tcW w:w="408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 максимальной учебной нагрузки обучающегося (час./нед.)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т.ч. часов обязательных учебных занятий</w:t>
            </w:r>
          </w:p>
        </w:tc>
        <w:tc>
          <w:tcPr>
            <w:tcW w:w="227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 и наименование дисциплин, междисциплинарных курсов (МДК)</w:t>
            </w:r>
          </w:p>
        </w:tc>
        <w:tc>
          <w:tcPr>
            <w:tcW w:w="13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Коды формируемых компетенций</w:t>
            </w:r>
          </w:p>
        </w:tc>
      </w:tr>
      <w:tr>
        <w:tc>
          <w:tcPr>
            <w:tcW w:w="11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Обязательная часть учебных циклов ППКРС и раздел "Физическая культура"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864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576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ОП.00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Общепрофессиональный учебный цикл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140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 цикла обучающийся по общепрофессиональным дисциплинам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контролировать выполнение заземления, зануления;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пускать и останавливать электродвигатели, установленные на эксплуатируемом оборудовании;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снимать показания работы и пользоваться электрооборудованием с соблюдением норм техники безопасности и правил эксплуатации;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о постоянном и переменном электрическом токе, последовательное и параллельное соединение проводников и источников тока, единицы измерения силы тока, напряжения, мощности электрического тока, сопротивления проводников, электрических и магнитных полей;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и методы измерений электрических величин, конструктивные и технические характеристики измерительных приборов;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законы электротехники;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графического изображения и составления электрических схем;</w:t>
            </w:r>
          </w:p>
          <w:p>
            <w:pPr>
              <w:pStyle w:val="0"/>
            </w:pPr>
            <w:r>
              <w:rPr>
                <w:sz w:val="20"/>
              </w:rPr>
              <w:t xml:space="preserve">условные обозначения электротехнических приборов и электрических машин;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элементы электрических сетей;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действия, устройство, основные характеристики электроизмерительных приборов, электрических машин, аппаратуры управления и защиты, схемы электроснабжения;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двигатели постоянного и переменного тока, их устройство, принцип действия правила пуска, остановки;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техники безопасности при работе с электрическими приборами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ОП.01. Электротехника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2</w:t>
            </w:r>
          </w:p>
          <w:p>
            <w:pPr>
              <w:pStyle w:val="0"/>
            </w:pPr>
            <w:r>
              <w:rPr>
                <w:sz w:val="20"/>
              </w:rPr>
              <w:t xml:space="preserve">ОК 3</w:t>
            </w:r>
          </w:p>
          <w:p>
            <w:pPr>
              <w:pStyle w:val="0"/>
            </w:pPr>
            <w:r>
              <w:rPr>
                <w:sz w:val="20"/>
              </w:rPr>
              <w:t xml:space="preserve">ОК 5</w:t>
            </w:r>
          </w:p>
          <w:p>
            <w:pPr>
              <w:pStyle w:val="0"/>
            </w:pPr>
            <w:r>
              <w:rPr>
                <w:sz w:val="20"/>
              </w:rPr>
              <w:t xml:space="preserve">ОК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2.2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4.1</w:t>
            </w:r>
          </w:p>
          <w:p>
            <w:pPr>
              <w:pStyle w:val="0"/>
            </w:pPr>
            <w:r>
              <w:rPr>
                <w:sz w:val="20"/>
              </w:rPr>
              <w:t xml:space="preserve">ПК 5.1 - 5.3</w:t>
            </w:r>
          </w:p>
        </w:tc>
      </w:tr>
      <w:tr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готовить растворы различных концентраций;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простейшие синтезы органических и неорганических веществ;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отбор и подготовку проб веществ к анализу;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химических производств и структуру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аналитической химии;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качественный и количественный анализ веществ;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физико-химические методы анализа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ОП.02. Основы аналитической химии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2</w:t>
            </w:r>
          </w:p>
          <w:p>
            <w:pPr>
              <w:pStyle w:val="0"/>
            </w:pPr>
            <w:r>
              <w:rPr>
                <w:sz w:val="20"/>
              </w:rPr>
              <w:t xml:space="preserve">ОК 3</w:t>
            </w:r>
          </w:p>
          <w:p>
            <w:pPr>
              <w:pStyle w:val="0"/>
            </w:pPr>
            <w:r>
              <w:rPr>
                <w:sz w:val="20"/>
              </w:rPr>
              <w:t xml:space="preserve">ОК 6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4.1 - 4.4</w:t>
            </w:r>
          </w:p>
        </w:tc>
      </w:tr>
      <w:tr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оформлять технологическую и техническую документацию в соответствии с основными правилами и требованиями нормативных документов системы сертификации и стандартизации к основным видам продукции (услуг) и процессов;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предельные отклонения размеров по технологической документации;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допуск размера, годность детали по результатам измерения;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и определения метрологии, стандартизации и сертификации;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государственного метрологического контроля и надзора;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метрологии и принципы технических измерений;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обозначение посадок в Единой системе допусков и посадок (ЕСДП);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измерительных средств;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определения погрешностей измерений;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устройство, условия и правила применения контрольно-измерительных приборов, инструментов и испытательной аппаратуры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ОП.03. Основы стандартизации и технические измерения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</w:t>
            </w:r>
          </w:p>
          <w:p>
            <w:pPr>
              <w:pStyle w:val="0"/>
            </w:pPr>
            <w:r>
              <w:rPr>
                <w:sz w:val="20"/>
              </w:rPr>
              <w:t xml:space="preserve">ОК 2</w:t>
            </w:r>
          </w:p>
          <w:p>
            <w:pPr>
              <w:pStyle w:val="0"/>
            </w:pPr>
            <w:r>
              <w:rPr>
                <w:sz w:val="20"/>
              </w:rPr>
              <w:t xml:space="preserve">ОК 3</w:t>
            </w:r>
          </w:p>
          <w:p>
            <w:pPr>
              <w:pStyle w:val="0"/>
            </w:pPr>
            <w:r>
              <w:rPr>
                <w:sz w:val="20"/>
              </w:rPr>
              <w:t xml:space="preserve">ОК 5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1.2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3.2</w:t>
            </w:r>
          </w:p>
          <w:p>
            <w:pPr>
              <w:pStyle w:val="0"/>
            </w:pPr>
            <w:r>
              <w:rPr>
                <w:sz w:val="20"/>
              </w:rPr>
              <w:t xml:space="preserve">ПК 4.1</w:t>
            </w:r>
          </w:p>
          <w:p>
            <w:pPr>
              <w:pStyle w:val="0"/>
            </w:pPr>
            <w:r>
              <w:rPr>
                <w:sz w:val="20"/>
              </w:rPr>
              <w:t xml:space="preserve">ПК 4.2</w:t>
            </w:r>
          </w:p>
          <w:p>
            <w:pPr>
              <w:pStyle w:val="0"/>
            </w:pPr>
            <w:r>
              <w:rPr>
                <w:sz w:val="20"/>
              </w:rPr>
              <w:t xml:space="preserve">ПК 4.3</w:t>
            </w:r>
          </w:p>
        </w:tc>
      </w:tr>
      <w:tr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средствами индивидуальной и групповой защиты;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безопасные приемы труда на территории организации и в производственных помещениях;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экобиозащитную и противопожарную технику;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и проводить анализ травмоопасных и вредных факторов в сфере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и правила проведения инструктажей по охране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возможные опасные и вредные факторы и средства защиты;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действие токсичных веществ на организм человека;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меры предупреждения пожаров и взрывов;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нормативные документы по охране труда и здоровья, основы профгигиены, профсанитарии и пожаробезопасности;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общие требования безопасности на территории организации и в производственных помещениях;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причины возникновения пожаров и взрывов;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правовые и организационные основы охраны труда в организации, систему мер по безопасной эксплуатации опасных производственных объектов и снижению вредного воздействия на окружающую среду, профилактические мероприятия по технике безопасности и производственной санитарии;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права и обязанности работников в области охраны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прогнозирования развития событий и оценки последствий при техногенных чрезвычайных ситуациях и стихийных явлениях;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средства и методы повышения безопасности технических средств и технологических процессов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ОП.04.</w:t>
            </w:r>
          </w:p>
          <w:p>
            <w:pPr>
              <w:pStyle w:val="0"/>
            </w:pPr>
            <w:r>
              <w:rPr>
                <w:sz w:val="20"/>
              </w:rPr>
              <w:t xml:space="preserve">Охрана труда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2.2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2.4</w:t>
            </w:r>
          </w:p>
          <w:p>
            <w:pPr>
              <w:pStyle w:val="0"/>
            </w:pPr>
            <w:r>
              <w:rPr>
                <w:sz w:val="20"/>
              </w:rPr>
              <w:t xml:space="preserve">ПК 5.1 - 5.3</w:t>
            </w:r>
          </w:p>
        </w:tc>
      </w:tr>
      <w:tr>
        <w:tc>
          <w:tcPr>
            <w:tcW w:w="1140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средства индивидуальной и коллективной защиты от оружия массового поражения; применять первичные средства пожаротушения;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перечне военно-учетных специальностей и самостоятельно определять среди них родственные полученной профессии;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профессиональные знания в ходе исполнения обязанностей военной службы на воинских должностях в соответствии с полученной профессией;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оказывать первую помощь пострадавшим;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военной службы и обороны государства;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задачи и основные мероприятия гражданской обороны;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защиты населения от оружия массового поражения; меры пожарной безопасности и правила безопасного поведения при пожарах;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организацию и порядок призыва граждан на военную службу и поступления на нее в добровольном порядке;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профессиям СПО;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область применения получаемых профессиональных знаний при исполнении обязанностей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и правила оказания первой помощи пострадавшим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</w:t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ОП.05.</w:t>
            </w:r>
          </w:p>
          <w:p>
            <w:pPr>
              <w:pStyle w:val="0"/>
            </w:pPr>
            <w:r>
              <w:rPr>
                <w:sz w:val="20"/>
              </w:rPr>
              <w:t xml:space="preserve">Безопасность</w:t>
            </w:r>
          </w:p>
          <w:p>
            <w:pPr>
              <w:pStyle w:val="0"/>
            </w:pPr>
            <w:r>
              <w:rPr>
                <w:sz w:val="20"/>
              </w:rPr>
              <w:t xml:space="preserve">жизнедеятельности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2.2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2.4</w:t>
            </w:r>
          </w:p>
          <w:p>
            <w:pPr>
              <w:pStyle w:val="0"/>
            </w:pPr>
            <w:r>
              <w:rPr>
                <w:sz w:val="20"/>
              </w:rPr>
              <w:t xml:space="preserve">ПК 5.1 - 5.3</w:t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П.00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Профессиональный учебный цикл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484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336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ПМ.00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Профессиональные модули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484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336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ПМ.01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Подготовка химической посуды, приборов и лабораторного оборудования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использования лабораторной посуды различного назначения, мытья и сушки посуды в соответствии с требованиями химического анализа;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выбора приборов и оборудования для проведения анализов;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подготовки для анализов приборов и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готовить растворы для химической очистки посуды;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мыть химическую посуду;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обращаться с лабораторной химической посудой;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подготавливать лабораторное оборудование к проведению анализов;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лабораторными приборами и оборудованием;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вести учет проб и реактивов;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обращаться с химическими реактивами;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 и классификацию химической посуды;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обращения с химической посудой, хранения, сушки;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мытья химической посуды;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механические и химические методы очистки химической посуды;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 и устройство лабораторного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сборки лабораторных установок для анализов и синтезов;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подготовки к работе основного и вспомогательного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свойства реактивов, требования, предъявляемые к реактивам;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обращения с реактивами и правила их хранения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МДК.01.01. Техника подготовки химической посуды, приборов и лабораторного оборудования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2 - 5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</w:t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ПМ.02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Приготовление растворов различной концентрации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приготовления растворов точной и приблизительной концентрации;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установления концентрации растворов различными способами;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готовить растворы различных концентраций;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концентрации растворов;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 растворов;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выражения концентрации растворов;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и технику приготовления растворов;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и технику определения концентрации растворов;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расчета растворов различной концентрации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МДК.02.01.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приготовления проб и растворов различной концентрации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2 - 5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2.1 - 2.3</w:t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ПМ.03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Выполнение качественных и количественных анализов природных и промышленных материалов с применением химических и физико-химических методов анализа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подготовки пробы к анализам;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установления градуировочной характеристики для физико-химических методов анализа;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выполнения измерений в соответствии с методикой;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анализы в соответствии с нормативной документацией;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выбирать метод анализа согласно нормативной документации;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важнейшие аналитические операции;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физические свойства веществ;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снимать показания с приборов;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назначение, классификацию, требования к химико-аналитическим лабораториям;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назначение, виды, способы и технику выполнения пробоотбора;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требования, предъявляемые к качеству проб;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устройство оборудования для отбора проб;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учета проб и оформления соответствующей документации;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лабораторные операции;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контроль качества анализов;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показатели качества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нормативную документацию на выполнение анализа химическими и физико-химическими методами;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технологию проведения качественного, количественного анализа веществ химическими и физико-химическими методами;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эксплуатации приборов и установок;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выбора методики проведения анализа;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метрологии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МДК.03.01. Технология выполнения химических и физико-химических анализов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2 - 5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3.1 - 3.3</w:t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ПМ.04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Обработка и оформление результатов анализа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снятия показаний приборов;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расчета результатов измерений согласно методикам выполнения анализа;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расчета погрешности результата анализа;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оформления протоколов анализа;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результаты и оформлять протокол анализа согласно нормативной документации;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первичную и математическую обработку экспериментальных данных;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метрологии;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информатики и вычислительной техники;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расчета, виды записи результатов эксперимента;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методику проведения необходимых расчетов;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контроль качества результатов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МДК.04.01. Обработка и учет результатов химических анализов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2 - 5</w:t>
            </w:r>
          </w:p>
          <w:p>
            <w:pPr>
              <w:pStyle w:val="0"/>
            </w:pPr>
            <w:r>
              <w:rPr>
                <w:sz w:val="20"/>
              </w:rPr>
              <w:t xml:space="preserve">ПК 4.1 - 4.4</w:t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ПМ.05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Соблюдение правил и приемов техники безопасности, промышленной санитарии и пожарной безопасности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организации проведения химического анализа с соблюдением безопасных условий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использования первичных средств пожаротушения;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оказания первой помощи пострадавшему на химическом объекте;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нормативную документацию на предельно допустимую концентрацию (ПДК) веществ в воздухе рабочей зоны, воде, почве;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обращаться с первичными средствами защиты и пожаротушения;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соблюдать правила охраны окружающей микросреды;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техники безопасности и охраны труда при работе с химическими реактивами и при выполнении химических операций;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 опасности веществ и влияние их на здоровье человека;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нормативную документацию на загрязнение;</w:t>
            </w:r>
          </w:p>
          <w:p>
            <w:pPr>
              <w:pStyle w:val="0"/>
            </w:pPr>
            <w:r>
              <w:rPr>
                <w:sz w:val="20"/>
              </w:rPr>
              <w:t xml:space="preserve">нормативы ПДК;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профгигиены и промсанитарии;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мероприятия по охране окружающей среды;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сдачи химических реактивов;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регенерации химических реактивов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МДК.05.01. Правила техники безопасности, промышленной санитарии и пожарной безопасности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2 - 5</w:t>
            </w:r>
          </w:p>
          <w:p>
            <w:pPr>
              <w:pStyle w:val="0"/>
            </w:pPr>
            <w:r>
              <w:rPr>
                <w:sz w:val="20"/>
              </w:rPr>
              <w:t xml:space="preserve">ОК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5.1 - 5.3</w:t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ФК.00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Физическая культура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освоения раздела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 роли физической культуры в общекультурном, профессиональном и социальном развитии человека;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здорового образа жизни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2 - 4</w:t>
            </w:r>
          </w:p>
          <w:p>
            <w:pPr>
              <w:pStyle w:val="0"/>
            </w:pPr>
            <w:r>
              <w:rPr>
                <w:sz w:val="20"/>
              </w:rPr>
              <w:t xml:space="preserve">ОК 6 - 7</w:t>
            </w:r>
          </w:p>
        </w:tc>
      </w:tr>
      <w:tr>
        <w:tc>
          <w:tcPr>
            <w:tcW w:w="11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Вариативная часть учебных циклов ППКРС</w:t>
            </w:r>
          </w:p>
          <w:p>
            <w:pPr>
              <w:pStyle w:val="0"/>
            </w:pPr>
            <w:r>
              <w:rPr>
                <w:sz w:val="20"/>
              </w:rPr>
              <w:t xml:space="preserve">(определяется образовательной организацией)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216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144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1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Итого по обязательной части ППКРС, включая раздел "Физическая культура", и вариативной части ППКРС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1080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720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УП.00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Учебная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 нед./39 нед.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684/1404</w:t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3.1 - 3.3</w:t>
            </w:r>
          </w:p>
        </w:tc>
      </w:tr>
      <w:tr>
        <w:tblPrEx>
          <w:tblBorders>
            <w:insideH w:val="nil"/>
          </w:tblBorders>
        </w:tblPrEx>
        <w:tc>
          <w:tcPr>
            <w:tcW w:w="114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ПП.00</w:t>
            </w:r>
          </w:p>
        </w:tc>
        <w:tc>
          <w:tcPr>
            <w:tcW w:w="408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tcW w:w="107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7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2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ПК 4.1 - 4.4</w:t>
            </w:r>
          </w:p>
          <w:p>
            <w:pPr>
              <w:pStyle w:val="0"/>
            </w:pPr>
            <w:r>
              <w:rPr>
                <w:sz w:val="20"/>
              </w:rPr>
              <w:t xml:space="preserve">ПК 5.1 - 5.3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6"/>
            <w:tcW w:w="10976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9" w:tooltip="Приказ Минобрнауки России от 25.03.2015 N 272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23.04.2015 N 37021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Минобрнауки России от 25.03.2015 N 272)</w:t>
            </w:r>
          </w:p>
        </w:tc>
      </w:tr>
      <w:tr>
        <w:tblPrEx>
          <w:tblBorders>
            <w:insideH w:val="nil"/>
          </w:tblBorders>
        </w:tblPrEx>
        <w:tc>
          <w:tcPr>
            <w:tcW w:w="114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ПА.00</w:t>
            </w:r>
          </w:p>
        </w:tc>
        <w:tc>
          <w:tcPr>
            <w:tcW w:w="408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07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нед./2 нед.</w:t>
            </w:r>
          </w:p>
        </w:tc>
        <w:tc>
          <w:tcPr>
            <w:tcW w:w="107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7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2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6"/>
            <w:tcW w:w="10976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0" w:tooltip="Приказ Минобрнауки России от 25.03.2015 N 272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23.04.2015 N 37021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Минобрнауки России от 25.03.2015 N 272)</w:t>
            </w:r>
          </w:p>
        </w:tc>
      </w:tr>
      <w:tr>
        <w:tblPrEx>
          <w:tblBorders>
            <w:insideH w:val="nil"/>
          </w:tblBorders>
        </w:tblPrEx>
        <w:tc>
          <w:tcPr>
            <w:tcW w:w="114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ГИА.00</w:t>
            </w:r>
          </w:p>
        </w:tc>
        <w:tc>
          <w:tcPr>
            <w:tcW w:w="408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07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нед./2 нед.</w:t>
            </w:r>
          </w:p>
        </w:tc>
        <w:tc>
          <w:tcPr>
            <w:tcW w:w="107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7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2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6"/>
            <w:tcW w:w="10976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1" w:tooltip="Приказ Минобрнауки России от 25.03.2015 N 272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23.04.2015 N 37021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Минобрнауки России от 25.03.2015 N 272)</w:t>
            </w:r>
          </w:p>
        </w:tc>
      </w:tr>
    </w:tbl>
    <w:p>
      <w:pPr>
        <w:sectPr>
          <w:headerReference w:type="default" r:id="rId17"/>
          <w:headerReference w:type="first" r:id="rId17"/>
          <w:footerReference w:type="default" r:id="rId18"/>
          <w:footerReference w:type="first" r:id="rId18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3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22" w:tooltip="Приказ Минобрнауки России от 25.03.2015 N 272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23.04.2015 N 37021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Минобрнауки России от 25.03.2015 N 272)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Срок получения среднего профессионального образования по ППКРС в очной форме обучения составляет 43/65 недель, в том числе: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848"/>
        <w:gridCol w:w="1757"/>
      </w:tblGrid>
      <w:tr>
        <w:tc>
          <w:tcPr>
            <w:tcW w:w="784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Обучение по учебным циклам и разделу "Физическая культура"</w:t>
            </w:r>
          </w:p>
        </w:tc>
        <w:tc>
          <w:tcPr>
            <w:tcW w:w="17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 нед.</w:t>
            </w:r>
          </w:p>
        </w:tc>
      </w:tr>
      <w:tr>
        <w:tc>
          <w:tcPr>
            <w:tcW w:w="784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Учебная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tcW w:w="1757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 нед./39 нед.</w:t>
            </w:r>
          </w:p>
        </w:tc>
      </w:tr>
      <w:tr>
        <w:tc>
          <w:tcPr>
            <w:tcW w:w="784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Производственная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vMerge w:val="continue"/>
          </w:tcPr>
          <w:p/>
        </w:tc>
      </w:tr>
      <w:tr>
        <w:tc>
          <w:tcPr>
            <w:tcW w:w="784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Промежуточная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7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нед./2 нед.</w:t>
            </w:r>
          </w:p>
        </w:tc>
      </w:tr>
      <w:tr>
        <w:tc>
          <w:tcPr>
            <w:tcW w:w="784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Государственная итоговая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7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нед./2 нед.</w:t>
            </w:r>
          </w:p>
        </w:tc>
      </w:tr>
      <w:tr>
        <w:tc>
          <w:tcPr>
            <w:tcW w:w="784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Каникулы</w:t>
            </w:r>
          </w:p>
        </w:tc>
        <w:tc>
          <w:tcPr>
            <w:tcW w:w="17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нед.</w:t>
            </w:r>
          </w:p>
        </w:tc>
      </w:tr>
      <w:tr>
        <w:tc>
          <w:tcPr>
            <w:tcW w:w="784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757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43 нед./65 нед.</w:t>
            </w:r>
          </w:p>
        </w:tc>
      </w:tr>
    </w:tbl>
    <w:p>
      <w:pPr>
        <w:pStyle w:val="0"/>
        <w:jc w:val="right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VII. ТРЕБОВАНИЯ К УСЛОВИЯМ РЕАЛИЗАЦИИ ПРОГРАММЫ ПОДГОТОВКИ</w:t>
      </w:r>
    </w:p>
    <w:p>
      <w:pPr>
        <w:pStyle w:val="2"/>
        <w:jc w:val="center"/>
      </w:pPr>
      <w:r>
        <w:rPr>
          <w:sz w:val="20"/>
        </w:rPr>
        <w:t xml:space="preserve">КВАЛИФИЦИРОВАННЫХ РАБОЧИХ, СЛУЖАЩИХ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7.1. Образовательная организация самостоятельно разрабатывает и утверждает ППКРС в соответствии с ФГОС СПО, определяя профессию или группу профессий рабочих (должностей служащих) по </w:t>
      </w:r>
      <w:hyperlink w:history="0" r:id="rId23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<w:r>
          <w:rPr>
            <w:sz w:val="20"/>
            <w:color w:val="0000ff"/>
          </w:rPr>
          <w:t xml:space="preserve">ОК 016-94</w:t>
        </w:r>
      </w:hyperlink>
      <w:r>
        <w:rPr>
          <w:sz w:val="20"/>
        </w:rPr>
        <w:t xml:space="preserve"> (исходя из рекомендуемого перечня их возможных сочетаний согласно </w:t>
      </w:r>
      <w:hyperlink w:history="0" w:anchor="P91" w:tooltip="3.2. Рекомендуемый перечень возможных сочетаний профессий рабочих, должностей служащих по Общероссийскому классификатору профессий рабочих, должностей служащих и тарифных разрядов (ОК 016-94) при формировании ППКРС:">
        <w:r>
          <w:rPr>
            <w:sz w:val="20"/>
            <w:color w:val="0000ff"/>
          </w:rPr>
          <w:t xml:space="preserve">пункту 3.2</w:t>
        </w:r>
      </w:hyperlink>
      <w:r>
        <w:rPr>
          <w:sz w:val="20"/>
        </w:rPr>
        <w:t xml:space="preserve"> ФГОС СПО), с учетом соответствующей примерной ППКРС.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Перед началом разработки ППКРС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Конкретные виды деятельности, к которым готовится обучающийся, должны соответствовать присваиваемым квалификациям,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формировании ППКРС образовательная организация: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имеет право использовать объем времени, отведенный на вариативную часть учебных циклов ППКРС, увеличивая при этом объем времени, отведенный на дисциплины и модули обязательной части, на практики, либо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4" w:tooltip="Приказ Минобрнауки России от 25.03.2015 N 272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23.04.2015 N 37021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Минобрнауки России от 25.03.2015 N 272)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ежегодно обновлять ППКРС с учетом запросов работодателей, особенностей развития региона, науки, культуры, экономики, техники, технологий и социальной сферы в рамках, установленных настоящим ФГОС СПО;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в рабочих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обеспечивать обучающимся возможность участвовать в формировании индивидуальной образовательной программы;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самоуправления, участие обучающихся в работе общественных организаций, спортивных и творческих клубов;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должна предусматривать при реализации компетентностного подхода использование в образовательном процессе активных форм проведения занятий с применением электронных образовательных ресурсов, деловых и ролевых игр, индивидуальных и групповых проектов, анализа производственных ситуаций, психологических и иных тренингов, групповых дискуссий в сочетании с внеаудиторной работой для формирования и развития общих и профессиональных компетенций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7.2. При реализации ППКРС обучающиеся имеют академические права и обязанности в соответствии с Федеральным </w:t>
      </w:r>
      <w:hyperlink w:history="0" r:id="rId25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29 декабря 2012 г. N 273-ФЗ "Об образовании в Российской Федерации"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2013, N 19, ст. 2326.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7.3. Максимальный объем учебной нагрузки обучающегося составляет 54 академических часа в неделю, включая все виды аудиторной и внеаудиторной (самостоятельной) учебной работы по освоению ППКРС и консультации.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7.4. Максимальный объем аудиторной учебной нагрузки при очной форме обучения составляет 36 академических часов в неделю.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7.5. Максимальный объем аудиторной учебной нагрузки при очно-заочной форме обучения составляет 16 академических часов в неделю.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7.6. Общая продолжительность каникул составляет не менее 10 недель в учебном году при сроке обучения более 1 года и не менее 2 недель в зимний период при сроке обучения 1 год.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7.7. По дисциплине "Физическая культура" могут быть предусмотрены еженедельно 2 часа самостоятельной учебной нагрузки, включая игровые виды подготовки (за счет различных форм внеаудиторных занятий в спортивных клубах, секциях).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7.8. Образовательная организация имеет право для подгрупп девушек использовать 70 процентов учебного времени дисциплины "Безопасность жизнедеятельности", отведенного на изучение основ военной службы, на освоение основ медицинских знаний.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7.9. Получение СПО на базе основного общего образования осуществляется с одновременным получением среднего общего образования в пределах ППКРС. В этом случае ППКРС, реализуемая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СПО.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освоения ППКРС в очной форме обучения для лиц, обучающихся на базе основного общего образования, увеличивается на 82 недели из расчета:</w:t>
      </w:r>
    </w:p>
    <w:p>
      <w:pPr>
        <w:pStyle w:val="3"/>
        <w:spacing w:before="200" w:line-rule="auto"/>
        <w:jc w:val="both"/>
      </w:pPr>
      <w:r>
        <w:rPr>
          <w:sz w:val="20"/>
        </w:rPr>
        <w:t xml:space="preserve">    теоретическое обучение (при обязательной учебной нагрузке       57 нед.</w:t>
      </w:r>
    </w:p>
    <w:p>
      <w:pPr>
        <w:pStyle w:val="3"/>
        <w:jc w:val="both"/>
      </w:pPr>
      <w:r>
        <w:rPr>
          <w:sz w:val="20"/>
        </w:rPr>
        <w:t xml:space="preserve">    36 часов в неделю)</w:t>
      </w:r>
    </w:p>
    <w:p>
      <w:pPr>
        <w:pStyle w:val="3"/>
        <w:jc w:val="both"/>
      </w:pPr>
      <w:r>
        <w:rPr>
          <w:sz w:val="20"/>
        </w:rPr>
        <w:t xml:space="preserve">    промежуточная аттестация                                         3 нед.</w:t>
      </w:r>
    </w:p>
    <w:p>
      <w:pPr>
        <w:pStyle w:val="3"/>
        <w:jc w:val="both"/>
      </w:pPr>
      <w:r>
        <w:rPr>
          <w:sz w:val="20"/>
        </w:rPr>
        <w:t xml:space="preserve">    каникулы                                                        22 нед.</w:t>
      </w:r>
    </w:p>
    <w:p>
      <w:pPr>
        <w:pStyle w:val="0"/>
        <w:ind w:firstLine="540"/>
        <w:jc w:val="both"/>
      </w:pPr>
      <w:r>
        <w:rPr>
          <w:sz w:val="20"/>
        </w:rPr>
        <w:t xml:space="preserve">7.10. 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7.11. В период обучения с юношами проводятся учебные сборы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26" w:tooltip="Федеральный закон от 28.03.1998 N 53-ФЗ (ред. от 24.09.2022) &quot;О воинской обязанности и военной службе&quot; (с изм. и доп., вступ. в силу с 13.10.2022) {КонсультантПлюс}">
        <w:r>
          <w:rPr>
            <w:sz w:val="20"/>
            <w:color w:val="0000ff"/>
          </w:rPr>
          <w:t xml:space="preserve">Пункт 1 статьи 13</w:t>
        </w:r>
      </w:hyperlink>
      <w:r>
        <w:rPr>
          <w:sz w:val="20"/>
        </w:rPr>
        <w:t xml:space="preserve"> Федерального закона от 28 марта 1998 г. N 53-ФЗ "О воинской обязанности и военной службе" (Собрание законодательства Российской Федерации, 1998, N 13, ст. 1475; 2004, N 35, ст. 3607; 2005, N 30, ст. 3111; 2007, N 49, ст. 6070; 2008, N 30, ст. 3616; 2013, N 27, ст. 3477).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7.12. Практика является обязательным разделом ППКРС. Она представляет собой вид учебной деятельности, направленной на формирование, закрепление, развитие практических навыков и компетенций в процессе выполнения определенных видов работ, связанных с будущей профессиональной деятельностью. При реализации ППКРС предусматриваются следующие виды практик: учебная и производственная.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Учебная практика и производственная практика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рассредоточенно, чередуясь с теоретическими занятиями в рамках профессиональных модулей.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Цели и задачи, программы и формы отчетности определяются образовательной организацией по каждому виду практики.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7.13. Реализация ППКРС должна обеспечиваться педагогическими кадрами, имеющими среднее профессиональное или высшее образование, соответствующее профилю преподаваемой дисциплины (модуля). Мастера производственного обучения должны иметь на 1 - 2 разряда по профессии рабочего выше, чем предусмотрено ФГОС СПО для выпускников.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цикла, эти преподаватели и мастера производственного обучения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7.14. ППКРС должна обеспечиваться учебно-методической документацией по всем дисциплинам, междисциплинарным курсам и профессиональным модулям ППКРС.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ППКРС должна обеспечиваться доступом каждого обучающегося к базам данных и библиотечным фондам, формируемым по полному перечню дисциплин (модулей) ППКРС. Во время самостоятельной подготовки обучающиеся должны быть обеспечены доступом к сети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Каждый обучающийся должен быть обеспечен не менее чем одним учебным печатным и/или электронным изданием по каждой дисциплине общепрофессионального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Библиотечный фонд должен быть укомплектован печатными и/или электронными изданиями основной и дополнительной учебной литературы по дисциплинам всех учебных циклов, изданными за последние 5 лет.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Библиотечный фонд, помимо учебной литературы, должен включать официальные, справочно-библиографические и периодические издания в расчете 1 - 2 экземпляра на каждые 100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Каждому обучающемуся должен быть обеспечен доступ к комплектам библиотечного фонда, состоящим не менее чем из 3 наименований отечественных журналов.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должна предоставить обучающимся возможность оперативного обмена информацией с отечественными организациями, в том числе образовательными организациями и доступ к современным профессиональным базам данных и информационным ресурсам сети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7.15. Прием на обучение по ППКРС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</w:t>
      </w:r>
      <w:hyperlink w:history="0" r:id="rId27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частью 4 статьи 68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&lt;1&gt;. Финансирование реализации ППКРС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2013, N 19, ст. 2326.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7.16. Образовательная организация, реализующая ППКРС, должна располагать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 должна соответствовать действующим санитарным и противопожарным нормам.</w:t>
      </w:r>
    </w:p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Перечень кабинетов, лабораторий, мастерских</w:t>
      </w:r>
    </w:p>
    <w:p>
      <w:pPr>
        <w:pStyle w:val="2"/>
        <w:jc w:val="center"/>
      </w:pPr>
      <w:r>
        <w:rPr>
          <w:sz w:val="20"/>
        </w:rPr>
        <w:t xml:space="preserve">и других помещений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Кабинеты: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безопасности жизнедеятельности;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электротехники;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стандартизации и технических измерений;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охраны труда;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химических дисциплин.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Лаборатории: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аналитической химии;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физической и коллоидной химии;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физико-химических методов анализа;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информационных технологий.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Спортивный комплекс: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спортивный зал;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открытый стадион широкого профиля с элементами полосы препятствий;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стрелковый тир (в любой модификации, включая электронный) или место для стрельбы.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Залы: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библиотека, читальный зал с выходом в сеть Интернет;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актовый зал.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ППКРС должна обеспечивать: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выполнение обучающимся лабораторных работ и практических занятий, включая как обязательный компонент практические задания с использованием персональных компьютеров;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освоение обучающимся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специфики вида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должна быть обеспечена необходимым комплектом лицензионного программного обеспечения.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7.17. Реализация ППКРС осуществляется образовательной организацией на государственном языке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ППКРС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ППКРС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VIII. ТРЕБОВАНИЯ К РЕЗУЛЬТАТАМ ОСВОЕНИЯ ПРОГРАММЫ</w:t>
      </w:r>
    </w:p>
    <w:p>
      <w:pPr>
        <w:pStyle w:val="2"/>
        <w:jc w:val="center"/>
      </w:pPr>
      <w:r>
        <w:rPr>
          <w:sz w:val="20"/>
        </w:rPr>
        <w:t xml:space="preserve">ПОДГОТОВКИ КВАЛИФИЦИРОВАННЫХ РАБОЧИХ, СЛУЖАЩИХ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8.1. Оценка качества освоения ППКРС должна включать текущий контроль успеваемости, промежуточную и государственную итоговую аттестацию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8.3. Для аттестации обучающихся на соответствие их персональных достижений поэтапным требованиям соответствующей ППКРС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8.4. Оценка качества подготовки обучающихся и выпускников осуществляется в двух основных направлениях: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уровня освоения дисциплин;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компетенций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юношей предусматривается оценка результатов освоения основ военной службы.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8.5. К государственной итоговой аттестации допускаются обучающиеся, не имеющие академической задолженности и в полном объеме выполнившие учебный план или индивидуальный учебный план по ППКРС, если иное не установлено порядком проведения государственной итоговой аттестации по образовательным программам среднего профессионального образования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28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 6 статьи 59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8.6. Государственная итоговая аттестация включает защиту выпускной квалификационной работы (выпускная практическая квалификационная работа и письменная экзаменационная работа). Обязательные требования - соответствие тематики выпускной квалификационной работы содержанию одного или нескольких профессиональных модулей; выпускная практическая квалификационная работа должна предусматривать сложность работы не ниже разряда по профессии рабочего, предусмотренного ФГОС СПО.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Государственный экзамен вводится по усмотрению образовательной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8.7. Обучающиеся по ППКРС, не имеющие среднего общего образования, в соответствии с </w:t>
      </w:r>
      <w:hyperlink w:history="0" r:id="rId29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частью 6 статьи 68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&lt;1&gt; вправе бесплатно пройти государственную итоговую аттестацию, которой завершается освоение образовательных программ среднего общего образования. При успешном прохождении указанной государственной итоговой аттестации аккредитованной образовательной организацией обучающимся выдается аттестат о среднем общем образовании.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2013, N 19, ст. 2326.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02.08.2013 N 900</w:t>
            <w:br/>
            <w:t>(ред. от 21.10.2019)</w:t>
            <w:br/>
            <w:t>"Об утверждении федерального государственного образов...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02.08.2013 N 900</w:t>
            <w:br/>
            <w:t>(ред. от 21.10.2019)</w:t>
            <w:br/>
            <w:t>"Об утверждении федерального государственного образов...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87055679D713CB211B85F6B90F1C074B3D8F4551931733FD4F1BDA9117E73E6A219F45F4062F6F1D085FC92E00E0785C3EFED2F4F424F9FEB8L8H" TargetMode = "External"/>
	<Relationship Id="rId8" Type="http://schemas.openxmlformats.org/officeDocument/2006/relationships/hyperlink" Target="consultantplus://offline/ref=87055679D713CB211B85F6B90F1C074B3D884B559C1C33FD4F1BDA9117E73E6A219F45F4062F6F1B065FC92E00E0785C3EFED2F4F424F9FEB8L8H" TargetMode = "External"/>
	<Relationship Id="rId9" Type="http://schemas.openxmlformats.org/officeDocument/2006/relationships/hyperlink" Target="consultantplus://offline/ref=87055679D713CB211B85F6B90F1C074B378F4A5093156EF74742D69310E8616F268E45F400316E1B1E569D7DB4L6H" TargetMode = "External"/>
	<Relationship Id="rId10" Type="http://schemas.openxmlformats.org/officeDocument/2006/relationships/hyperlink" Target="consultantplus://offline/ref=87055679D713CB211B85F6B90F1C074B3D884B559C1C33FD4F1BDA9117E73E6A219F45F4062F6F1B065FC92E00E0785C3EFED2F4F424F9FEB8L8H" TargetMode = "External"/>
	<Relationship Id="rId11" Type="http://schemas.openxmlformats.org/officeDocument/2006/relationships/hyperlink" Target="consultantplus://offline/ref=87055679D713CB211B85F6B90F1C074B3D8F4551931733FD4F1BDA9117E73E6A219F45F4062F6F1D085FC92E00E0785C3EFED2F4F424F9FEB8L8H" TargetMode = "External"/>
	<Relationship Id="rId12" Type="http://schemas.openxmlformats.org/officeDocument/2006/relationships/hyperlink" Target="consultantplus://offline/ref=87055679D713CB211B85F6B90F1C074B3A884056971833FD4F1BDA9117E73E6A219F45F4062F6D1C075FC92E00E0785C3EFED2F4F424F9FEB8L8H" TargetMode = "External"/>
	<Relationship Id="rId13" Type="http://schemas.openxmlformats.org/officeDocument/2006/relationships/hyperlink" Target="consultantplus://offline/ref=87055679D713CB211B85F6B90F1C074B3F88465B9D1833FD4F1BDA9117E73E6A219F45F4062F6F18005FC92E00E0785C3EFED2F4F424F9FEB8L8H" TargetMode = "External"/>
	<Relationship Id="rId14" Type="http://schemas.openxmlformats.org/officeDocument/2006/relationships/hyperlink" Target="consultantplus://offline/ref=87055679D713CB211B85F6B90F1C074B3D8F4551931733FD4F1BDA9117E73E6A219F45F4062F6F1D095FC92E00E0785C3EFED2F4F424F9FEB8L8H" TargetMode = "External"/>
	<Relationship Id="rId15" Type="http://schemas.openxmlformats.org/officeDocument/2006/relationships/hyperlink" Target="consultantplus://offline/ref=87055679D713CB211B85F6B90F1C074B3F88465B9D1833FD4F1BDA9117E73E6A219F45F4062F6F18005FC92E00E0785C3EFED2F4F424F9FEB8L8H" TargetMode = "External"/>
	<Relationship Id="rId16" Type="http://schemas.openxmlformats.org/officeDocument/2006/relationships/hyperlink" Target="consultantplus://offline/ref=87055679D713CB211B85F6B90F1C074B3A894156971C33FD4F1BDA9117E73E6A339F1DF807297118024A9F7F46BBL7H" TargetMode = "External"/>
	<Relationship Id="rId17" Type="http://schemas.openxmlformats.org/officeDocument/2006/relationships/header" Target="header2.xml"/>
	<Relationship Id="rId18" Type="http://schemas.openxmlformats.org/officeDocument/2006/relationships/footer" Target="footer2.xml"/>
	<Relationship Id="rId19" Type="http://schemas.openxmlformats.org/officeDocument/2006/relationships/hyperlink" Target="consultantplus://offline/ref=87055679D713CB211B85F6B90F1C074B3D8F4551931733FD4F1BDA9117E73E6A219F45F4062F6F1C005FC92E00E0785C3EFED2F4F424F9FEB8L8H" TargetMode = "External"/>
	<Relationship Id="rId20" Type="http://schemas.openxmlformats.org/officeDocument/2006/relationships/hyperlink" Target="consultantplus://offline/ref=87055679D713CB211B85F6B90F1C074B3D8F4551931733FD4F1BDA9117E73E6A219F45F4062F6F1F005FC92E00E0785C3EFED2F4F424F9FEB8L8H" TargetMode = "External"/>
	<Relationship Id="rId21" Type="http://schemas.openxmlformats.org/officeDocument/2006/relationships/hyperlink" Target="consultantplus://offline/ref=87055679D713CB211B85F6B90F1C074B3D8F4551931733FD4F1BDA9117E73E6A219F45F4062F6F1F035FC92E00E0785C3EFED2F4F424F9FEB8L8H" TargetMode = "External"/>
	<Relationship Id="rId22" Type="http://schemas.openxmlformats.org/officeDocument/2006/relationships/hyperlink" Target="consultantplus://offline/ref=87055679D713CB211B85F6B90F1C074B3D8F4551931733FD4F1BDA9117E73E6A219F45F4062F6F1F075FC92E00E0785C3EFED2F4F424F9FEB8L8H" TargetMode = "External"/>
	<Relationship Id="rId23" Type="http://schemas.openxmlformats.org/officeDocument/2006/relationships/hyperlink" Target="consultantplus://offline/ref=87055679D713CB211B85F6B90F1C074B3F88465B9D1833FD4F1BDA9117E73E6A219F45F4062F6F18005FC92E00E0785C3EFED2F4F424F9FEB8L8H" TargetMode = "External"/>
	<Relationship Id="rId24" Type="http://schemas.openxmlformats.org/officeDocument/2006/relationships/hyperlink" Target="consultantplus://offline/ref=87055679D713CB211B85F6B90F1C074B3D8F4551931733FD4F1BDA9117E73E6A219F45F4062F6F11035FC92E00E0785C3EFED2F4F424F9FEB8L8H" TargetMode = "External"/>
	<Relationship Id="rId25" Type="http://schemas.openxmlformats.org/officeDocument/2006/relationships/hyperlink" Target="consultantplus://offline/ref=87055679D713CB211B85F6B90F1C074B3A884056971833FD4F1BDA9117E73E6A339F1DF807297118024A9F7F46BBL7H" TargetMode = "External"/>
	<Relationship Id="rId26" Type="http://schemas.openxmlformats.org/officeDocument/2006/relationships/hyperlink" Target="consultantplus://offline/ref=87055679D713CB211B85F6B90F1C074B3A894156971C33FD4F1BDA9117E73E6A219F45F60F2D644D5110C87245B36B5C3AFED1F6E8B2L4H" TargetMode = "External"/>
	<Relationship Id="rId27" Type="http://schemas.openxmlformats.org/officeDocument/2006/relationships/hyperlink" Target="consultantplus://offline/ref=87055679D713CB211B85F6B90F1C074B3A884056971833FD4F1BDA9117E73E6A219F45F4062F6618005FC92E00E0785C3EFED2F4F424F9FEB8L8H" TargetMode = "External"/>
	<Relationship Id="rId28" Type="http://schemas.openxmlformats.org/officeDocument/2006/relationships/hyperlink" Target="consultantplus://offline/ref=87055679D713CB211B85F6B90F1C074B3A884056971833FD4F1BDA9117E73E6A219F45F4062F6719035FC92E00E0785C3EFED2F4F424F9FEB8L8H" TargetMode = "External"/>
	<Relationship Id="rId29" Type="http://schemas.openxmlformats.org/officeDocument/2006/relationships/hyperlink" Target="consultantplus://offline/ref=87055679D713CB211B85F6B90F1C074B3A884056971833FD4F1BDA9117E73E6A219F45F4062F6618025FC92E00E0785C3EFED2F4F424F9FEB8L8H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02.08.2013 N 900
(ред. от 21.10.2019)
"Об утверждении федерального государственного образовательного стандарта среднего профессионального образования по профессии 240700.01 Лаборант-аналитик"
(Зарегистрировано в Минюсте России 20.08.2013 N 29555)</dc:title>
  <dcterms:created xsi:type="dcterms:W3CDTF">2022-12-16T07:11:01Z</dcterms:created>
</cp:coreProperties>
</file>