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13.07.2021 N 444</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35.02.05 Агрономия"</w:t>
              <w:br/>
              <w:t xml:space="preserve">(Зарегистрировано в Минюсте России 17.08.2021 N 64664)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Минюсте России 17 августа 2021 г. N 64664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13 июля 2021 г. N 444</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35.02.05 АГРОНОМИЯ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9"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35.02.05 Агрономия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07.05.2014 N 454 (ред. от 27.11.2014) &quot;Об утверждении федерального государственного образовательного стандарта среднего профессионального образования по специальности 35.02.05 Агрономия&quot; (Зарегистрировано в Минюсте России 26.06.2014 N 32871)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35.02.05</w:t>
        </w:r>
      </w:hyperlink>
      <w:r>
        <w:rPr>
          <w:sz w:val="20"/>
        </w:rPr>
        <w:t xml:space="preserve"> Агрономия, утвержденным приказом Министерства образования и науки Российской Федерации от 7 мая 2014 г. N 454 (зарегистрирован Министерством юстиции Российской Федерации 26 июня 2014 г., регистрационный N 32871), с изменениями, внесенными приказом Министерства образования и науки Российской Федерации России от 27 ноября 2014 г. N 1522 (зарегистрирован Министерством юстиции Российской Федерации 19 декабря 2014 г., регистрационный N 35280), прекращается с 31 декабря 2021 года.</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А.А.КОРНЕЕВ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13 июля 2021 г. N 444</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35.02.05 АГРОНОМИЯ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35.02.05 Агрономия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8" w:name="P48"/>
    <w:bookmarkEnd w:id="48"/>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"агроном", указанной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24" w:tooltip="ПЕРЕЧЕНЬ">
        <w:r>
          <w:rPr>
            <w:sz w:val="20"/>
            <w:color w:val="0000ff"/>
          </w:rPr>
          <w:t xml:space="preserve">приложение N 1</w:t>
        </w:r>
      </w:hyperlink>
      <w:r>
        <w:rPr>
          <w:sz w:val="20"/>
        </w:rPr>
        <w:t xml:space="preserve"> к ФГОС СПО).</w:t>
      </w:r>
    </w:p>
    <w:bookmarkStart w:id="50" w:name="P50"/>
    <w:bookmarkEnd w:id="50"/>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13</w:t>
        </w:r>
      </w:hyperlink>
      <w:r>
        <w:rPr>
          <w:sz w:val="20"/>
        </w:rPr>
        <w:t xml:space="preserve"> Сельское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5510).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8"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0"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агроном&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агроном&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
        <w:r>
          <w:rPr>
            <w:sz w:val="20"/>
            <w:color w:val="0000ff"/>
          </w:rPr>
          <w:t xml:space="preserve">пункте 1.5</w:t>
        </w:r>
      </w:hyperlink>
      <w:r>
        <w:rPr>
          <w:sz w:val="20"/>
        </w:rPr>
        <w:t xml:space="preserve"> ФГОС СПО.</w:t>
      </w:r>
    </w:p>
    <w:p>
      <w:pPr>
        <w:pStyle w:val="0"/>
        <w:jc w:val="both"/>
      </w:pPr>
      <w:r>
        <w:rPr>
          <w:sz w:val="20"/>
        </w:rPr>
      </w:r>
    </w:p>
    <w:p>
      <w:pPr>
        <w:pStyle w:val="0"/>
        <w:jc w:val="right"/>
      </w:pPr>
      <w:r>
        <w:rPr>
          <w:sz w:val="20"/>
        </w:rPr>
        <w:t xml:space="preserve">Таблица</w:t>
      </w:r>
    </w:p>
    <w:p>
      <w:pPr>
        <w:pStyle w:val="0"/>
        <w:jc w:val="both"/>
      </w:pPr>
      <w:r>
        <w:rPr>
          <w:sz w:val="20"/>
        </w:rPr>
      </w:r>
    </w:p>
    <w:bookmarkStart w:id="93" w:name="P93"/>
    <w:bookmarkEnd w:id="93"/>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67"/>
      </w:tblGrid>
      <w:tr>
        <w:tc>
          <w:tcPr>
            <w:tcW w:w="6803" w:type="dxa"/>
          </w:tcPr>
          <w:p>
            <w:pPr>
              <w:pStyle w:val="0"/>
              <w:jc w:val="center"/>
            </w:pPr>
            <w:r>
              <w:rPr>
                <w:sz w:val="20"/>
              </w:rPr>
              <w:t xml:space="preserve">Структура образовательной программы</w:t>
            </w:r>
          </w:p>
        </w:tc>
        <w:tc>
          <w:tcPr>
            <w:tcW w:w="2267" w:type="dxa"/>
          </w:tcPr>
          <w:p>
            <w:pPr>
              <w:pStyle w:val="0"/>
              <w:jc w:val="center"/>
            </w:pPr>
            <w:r>
              <w:rPr>
                <w:sz w:val="20"/>
              </w:rPr>
              <w:t xml:space="preserve">Объем образовательной программы в академических часах</w:t>
            </w:r>
          </w:p>
        </w:tc>
      </w:tr>
      <w:tr>
        <w:tc>
          <w:tcPr>
            <w:tcW w:w="6803" w:type="dxa"/>
          </w:tcPr>
          <w:p>
            <w:pPr>
              <w:pStyle w:val="0"/>
            </w:pPr>
            <w:r>
              <w:rPr>
                <w:sz w:val="20"/>
              </w:rPr>
              <w:t xml:space="preserve">Общий гуманитарный и социально-экономический цикл</w:t>
            </w:r>
          </w:p>
        </w:tc>
        <w:tc>
          <w:tcPr>
            <w:tcW w:w="2267" w:type="dxa"/>
          </w:tcPr>
          <w:p>
            <w:pPr>
              <w:pStyle w:val="0"/>
              <w:jc w:val="center"/>
            </w:pPr>
            <w:r>
              <w:rPr>
                <w:sz w:val="20"/>
              </w:rPr>
              <w:t xml:space="preserve">не менее 468</w:t>
            </w:r>
          </w:p>
        </w:tc>
      </w:tr>
      <w:tr>
        <w:tc>
          <w:tcPr>
            <w:tcW w:w="6803" w:type="dxa"/>
          </w:tcPr>
          <w:p>
            <w:pPr>
              <w:pStyle w:val="0"/>
            </w:pPr>
            <w:r>
              <w:rPr>
                <w:sz w:val="20"/>
              </w:rPr>
              <w:t xml:space="preserve">Математический и общий естественнонаучный цикл</w:t>
            </w:r>
          </w:p>
        </w:tc>
        <w:tc>
          <w:tcPr>
            <w:tcW w:w="2267" w:type="dxa"/>
          </w:tcPr>
          <w:p>
            <w:pPr>
              <w:pStyle w:val="0"/>
              <w:jc w:val="center"/>
            </w:pPr>
            <w:r>
              <w:rPr>
                <w:sz w:val="20"/>
              </w:rPr>
              <w:t xml:space="preserve">не менее 144</w:t>
            </w:r>
          </w:p>
        </w:tc>
      </w:tr>
      <w:tr>
        <w:tc>
          <w:tcPr>
            <w:tcW w:w="6803" w:type="dxa"/>
          </w:tcPr>
          <w:p>
            <w:pPr>
              <w:pStyle w:val="0"/>
            </w:pPr>
            <w:r>
              <w:rPr>
                <w:sz w:val="20"/>
              </w:rPr>
              <w:t xml:space="preserve">Общепрофессиональный цикл</w:t>
            </w:r>
          </w:p>
        </w:tc>
        <w:tc>
          <w:tcPr>
            <w:tcW w:w="2267" w:type="dxa"/>
          </w:tcPr>
          <w:p>
            <w:pPr>
              <w:pStyle w:val="0"/>
              <w:jc w:val="center"/>
            </w:pPr>
            <w:r>
              <w:rPr>
                <w:sz w:val="20"/>
              </w:rPr>
              <w:t xml:space="preserve">не менее 612</w:t>
            </w:r>
          </w:p>
        </w:tc>
      </w:tr>
      <w:tr>
        <w:tc>
          <w:tcPr>
            <w:tcW w:w="6803" w:type="dxa"/>
          </w:tcPr>
          <w:p>
            <w:pPr>
              <w:pStyle w:val="0"/>
            </w:pPr>
            <w:r>
              <w:rPr>
                <w:sz w:val="20"/>
              </w:rPr>
              <w:t xml:space="preserve">Профессиональный цикл</w:t>
            </w:r>
          </w:p>
        </w:tc>
        <w:tc>
          <w:tcPr>
            <w:tcW w:w="2267" w:type="dxa"/>
          </w:tcPr>
          <w:p>
            <w:pPr>
              <w:pStyle w:val="0"/>
              <w:jc w:val="center"/>
            </w:pPr>
            <w:r>
              <w:rPr>
                <w:sz w:val="20"/>
              </w:rPr>
              <w:t xml:space="preserve">не менее 1728</w:t>
            </w:r>
          </w:p>
        </w:tc>
      </w:tr>
      <w:tr>
        <w:tc>
          <w:tcPr>
            <w:tcW w:w="6803" w:type="dxa"/>
          </w:tcPr>
          <w:p>
            <w:pPr>
              <w:pStyle w:val="0"/>
            </w:pPr>
            <w:r>
              <w:rPr>
                <w:sz w:val="20"/>
              </w:rPr>
              <w:t xml:space="preserve">Государственная итоговая аттестация</w:t>
            </w:r>
          </w:p>
        </w:tc>
        <w:tc>
          <w:tcPr>
            <w:tcW w:w="2267" w:type="dxa"/>
          </w:tcPr>
          <w:p>
            <w:pPr>
              <w:pStyle w:val="0"/>
              <w:jc w:val="center"/>
            </w:pPr>
            <w:r>
              <w:rPr>
                <w:sz w:val="20"/>
              </w:rPr>
              <w:t xml:space="preserve">216</w:t>
            </w:r>
          </w:p>
        </w:tc>
      </w:tr>
      <w:tr>
        <w:tc>
          <w:tcPr>
            <w:gridSpan w:val="2"/>
            <w:tcW w:w="9070" w:type="dxa"/>
          </w:tcPr>
          <w:p>
            <w:pPr>
              <w:pStyle w:val="0"/>
              <w:jc w:val="center"/>
            </w:pPr>
            <w:r>
              <w:rPr>
                <w:sz w:val="20"/>
              </w:rPr>
              <w:t xml:space="preserve">Общий объем образовательной программы:</w:t>
            </w:r>
          </w:p>
        </w:tc>
      </w:tr>
      <w:tr>
        <w:tc>
          <w:tcPr>
            <w:tcW w:w="6803" w:type="dxa"/>
          </w:tcPr>
          <w:p>
            <w:pPr>
              <w:pStyle w:val="0"/>
            </w:pPr>
            <w:r>
              <w:rPr>
                <w:sz w:val="20"/>
              </w:rPr>
              <w:t xml:space="preserve">на базе среднего общего образования</w:t>
            </w:r>
          </w:p>
        </w:tc>
        <w:tc>
          <w:tcPr>
            <w:tcW w:w="2267" w:type="dxa"/>
          </w:tcPr>
          <w:p>
            <w:pPr>
              <w:pStyle w:val="0"/>
              <w:jc w:val="center"/>
            </w:pPr>
            <w:r>
              <w:rPr>
                <w:sz w:val="20"/>
              </w:rPr>
              <w:t xml:space="preserve">4464</w:t>
            </w:r>
          </w:p>
        </w:tc>
      </w:tr>
      <w:tr>
        <w:tc>
          <w:tcPr>
            <w:tcW w:w="6803"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67"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3" w:tooltip="Структура и объем образовательной программы">
        <w:r>
          <w:rPr>
            <w:sz w:val="20"/>
            <w:color w:val="0000ff"/>
          </w:rPr>
          <w:t xml:space="preserve">Таблицей</w:t>
        </w:r>
      </w:hyperlink>
      <w:r>
        <w:rPr>
          <w:sz w:val="20"/>
        </w:rPr>
        <w:t xml:space="preserve">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Дисциплина "Физическая культура" в очной форме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30" w:name="P130"/>
    <w:bookmarkEnd w:id="13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bookmarkStart w:id="145" w:name="P145"/>
    <w:bookmarkEnd w:id="145"/>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указанных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агроном&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
        <w:r>
          <w:rPr>
            <w:sz w:val="20"/>
            <w:color w:val="0000ff"/>
          </w:rPr>
          <w:t xml:space="preserve">пункте 1.5</w:t>
        </w:r>
      </w:hyperlink>
      <w:r>
        <w:rPr>
          <w:sz w:val="20"/>
        </w:rPr>
        <w:t xml:space="preserve"> ФГОС СПО:</w:t>
      </w:r>
    </w:p>
    <w:p>
      <w:pPr>
        <w:pStyle w:val="0"/>
        <w:spacing w:before="200" w:line-rule="auto"/>
        <w:ind w:firstLine="540"/>
        <w:jc w:val="both"/>
      </w:pPr>
      <w:r>
        <w:rPr>
          <w:sz w:val="20"/>
        </w:rPr>
        <w:t xml:space="preserve">организация работы растениеводческих бригад в соответствии с технологическими картами возделывания сельскохозяйственных культур;</w:t>
      </w:r>
    </w:p>
    <w:p>
      <w:pPr>
        <w:pStyle w:val="0"/>
        <w:spacing w:before="200" w:line-rule="auto"/>
        <w:ind w:firstLine="540"/>
        <w:jc w:val="both"/>
      </w:pPr>
      <w:r>
        <w:rPr>
          <w:sz w:val="20"/>
        </w:rPr>
        <w:t xml:space="preserve">контроль процесса развития растений в течение вегетации.</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 указанным в </w:t>
      </w:r>
      <w:hyperlink w:history="0" w:anchor="P145" w:tooltip="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ых в пункте 1.5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Организация работы растениеводческих бригад в соответствии с технологическими картами возделывания сельскохозяйственных культур:</w:t>
      </w:r>
    </w:p>
    <w:p>
      <w:pPr>
        <w:pStyle w:val="0"/>
        <w:spacing w:before="200" w:line-rule="auto"/>
        <w:ind w:firstLine="540"/>
        <w:jc w:val="both"/>
      </w:pPr>
      <w:r>
        <w:rPr>
          <w:sz w:val="20"/>
        </w:rPr>
        <w:t xml:space="preserve">ПК 1.1. Осуществлять подготовку рабочих планов-графиков выполнения полевых работ;</w:t>
      </w:r>
    </w:p>
    <w:p>
      <w:pPr>
        <w:pStyle w:val="0"/>
        <w:spacing w:before="200" w:line-rule="auto"/>
        <w:ind w:firstLine="540"/>
        <w:jc w:val="both"/>
      </w:pPr>
      <w:r>
        <w:rPr>
          <w:sz w:val="20"/>
        </w:rPr>
        <w:t xml:space="preserve">ПК 1.2. Выполнять разработку и выдачу заданий для растениеводческих бригад;</w:t>
      </w:r>
    </w:p>
    <w:p>
      <w:pPr>
        <w:pStyle w:val="0"/>
        <w:spacing w:before="200" w:line-rule="auto"/>
        <w:ind w:firstLine="540"/>
        <w:jc w:val="both"/>
      </w:pPr>
      <w:r>
        <w:rPr>
          <w:sz w:val="20"/>
        </w:rPr>
        <w:t xml:space="preserve">ПК 1.3. Проводить инструктирование работников по выполнению выданных производственных заданий;</w:t>
      </w:r>
    </w:p>
    <w:p>
      <w:pPr>
        <w:pStyle w:val="0"/>
        <w:spacing w:before="200" w:line-rule="auto"/>
        <w:ind w:firstLine="540"/>
        <w:jc w:val="both"/>
      </w:pPr>
      <w:r>
        <w:rPr>
          <w:sz w:val="20"/>
        </w:rPr>
        <w:t xml:space="preserve">ПК 1.4. Осуществлять оперативный контроль качества выполнения технологических операций в растениеводстве;</w:t>
      </w:r>
    </w:p>
    <w:p>
      <w:pPr>
        <w:pStyle w:val="0"/>
        <w:spacing w:before="200" w:line-rule="auto"/>
        <w:ind w:firstLine="540"/>
        <w:jc w:val="both"/>
      </w:pPr>
      <w:r>
        <w:rPr>
          <w:sz w:val="20"/>
        </w:rPr>
        <w:t xml:space="preserve">ПК 1.5. Принимать меры по устранению выявленных в ходе контроля качества технологических операций дефектов и недостатков;</w:t>
      </w:r>
    </w:p>
    <w:p>
      <w:pPr>
        <w:pStyle w:val="0"/>
        <w:spacing w:before="200" w:line-rule="auto"/>
        <w:ind w:firstLine="540"/>
        <w:jc w:val="both"/>
      </w:pPr>
      <w:r>
        <w:rPr>
          <w:sz w:val="20"/>
        </w:rPr>
        <w:t xml:space="preserve">ПК 1.6. Осуществлять технологические регулировки почвообрабатывающих и посевных агрегатов, используемых для реализации технологических операций;</w:t>
      </w:r>
    </w:p>
    <w:p>
      <w:pPr>
        <w:pStyle w:val="0"/>
        <w:spacing w:before="200" w:line-rule="auto"/>
        <w:ind w:firstLine="540"/>
        <w:jc w:val="both"/>
      </w:pPr>
      <w:r>
        <w:rPr>
          <w:sz w:val="20"/>
        </w:rPr>
        <w:t xml:space="preserve">ПК 1.7. Осуществлять подготовку информации для составления первичной отчетности.</w:t>
      </w:r>
    </w:p>
    <w:p>
      <w:pPr>
        <w:pStyle w:val="0"/>
        <w:spacing w:before="200" w:line-rule="auto"/>
        <w:ind w:firstLine="540"/>
        <w:jc w:val="both"/>
      </w:pPr>
      <w:r>
        <w:rPr>
          <w:sz w:val="20"/>
        </w:rPr>
        <w:t xml:space="preserve">3.4.2. Контроль процесса развития растений в течение вегетации:</w:t>
      </w:r>
    </w:p>
    <w:p>
      <w:pPr>
        <w:pStyle w:val="0"/>
        <w:spacing w:before="200" w:line-rule="auto"/>
        <w:ind w:firstLine="540"/>
        <w:jc w:val="both"/>
      </w:pPr>
      <w:r>
        <w:rPr>
          <w:sz w:val="20"/>
        </w:rPr>
        <w:t xml:space="preserve">ПК 2.1. Составлять программы контроля развития растений в течение вегетации;</w:t>
      </w:r>
    </w:p>
    <w:p>
      <w:pPr>
        <w:pStyle w:val="0"/>
        <w:spacing w:before="200" w:line-rule="auto"/>
        <w:ind w:firstLine="540"/>
        <w:jc w:val="both"/>
      </w:pPr>
      <w:r>
        <w:rPr>
          <w:sz w:val="20"/>
        </w:rPr>
        <w:t xml:space="preserve">ПК 2.2. Устанавливать календарные сроки проведения технологических операций на основе определения фенологических фаз развития растений;</w:t>
      </w:r>
    </w:p>
    <w:p>
      <w:pPr>
        <w:pStyle w:val="0"/>
        <w:spacing w:before="200" w:line-rule="auto"/>
        <w:ind w:firstLine="540"/>
        <w:jc w:val="both"/>
      </w:pPr>
      <w:r>
        <w:rPr>
          <w:sz w:val="20"/>
        </w:rPr>
        <w:t xml:space="preserve">ПК 2.3. Применять качественные и количественные методы определения общего состояния посевов, полевой всхожести, густоты состояния, перезимовки озимых и многолетних культур;</w:t>
      </w:r>
    </w:p>
    <w:p>
      <w:pPr>
        <w:pStyle w:val="0"/>
        <w:spacing w:before="200" w:line-rule="auto"/>
        <w:ind w:firstLine="540"/>
        <w:jc w:val="both"/>
      </w:pPr>
      <w:r>
        <w:rPr>
          <w:sz w:val="20"/>
        </w:rPr>
        <w:t xml:space="preserve">ПК 2.4. Определять видовой состав сорных растений и степень засоренности посевов;</w:t>
      </w:r>
    </w:p>
    <w:p>
      <w:pPr>
        <w:pStyle w:val="0"/>
        <w:spacing w:before="200" w:line-rule="auto"/>
        <w:ind w:firstLine="540"/>
        <w:jc w:val="both"/>
      </w:pPr>
      <w:r>
        <w:rPr>
          <w:sz w:val="20"/>
        </w:rPr>
        <w:t xml:space="preserve">ПК 2.5. Определять видовой состав вредителей, плотность их популяций, вредоносность и степень поврежденности растений и распространенность вредителей;</w:t>
      </w:r>
    </w:p>
    <w:p>
      <w:pPr>
        <w:pStyle w:val="0"/>
        <w:spacing w:before="200" w:line-rule="auto"/>
        <w:ind w:firstLine="540"/>
        <w:jc w:val="both"/>
      </w:pPr>
      <w:r>
        <w:rPr>
          <w:sz w:val="20"/>
        </w:rPr>
        <w:t xml:space="preserve">ПК 2.6. Проводить диагностику болезней и степень их развития с целью совершенствования системы защиты растений и распространенность болезней;</w:t>
      </w:r>
    </w:p>
    <w:p>
      <w:pPr>
        <w:pStyle w:val="0"/>
        <w:spacing w:before="200" w:line-rule="auto"/>
        <w:ind w:firstLine="540"/>
        <w:jc w:val="both"/>
      </w:pPr>
      <w:r>
        <w:rPr>
          <w:sz w:val="20"/>
        </w:rPr>
        <w:t xml:space="preserve">ПК 2.7. Проводить почвенную и растительную диагностику питания растений;</w:t>
      </w:r>
    </w:p>
    <w:p>
      <w:pPr>
        <w:pStyle w:val="0"/>
        <w:spacing w:before="200" w:line-rule="auto"/>
        <w:ind w:firstLine="540"/>
        <w:jc w:val="both"/>
      </w:pPr>
      <w:r>
        <w:rPr>
          <w:sz w:val="20"/>
        </w:rPr>
        <w:t xml:space="preserve">ПК 2.8. Производить анализ готовности сельскохозяйственных культур к уборке и определять урожайность сельскохозяйственных культур перед уборкой для планирования уборочной кампании;</w:t>
      </w:r>
    </w:p>
    <w:p>
      <w:pPr>
        <w:pStyle w:val="0"/>
        <w:spacing w:before="200" w:line-rule="auto"/>
        <w:ind w:firstLine="540"/>
        <w:jc w:val="both"/>
      </w:pPr>
      <w:r>
        <w:rPr>
          <w:sz w:val="20"/>
        </w:rPr>
        <w:t xml:space="preserve">ПК 2.9. Проводить анализ и обработку информации, полученной в ходе процесса развития растений, и разрабатывать предложения по совершенствованию технологических процессов в растениеводстве.</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48" w:tooltip="ПЕРЕЧЕНЬ">
        <w:r>
          <w:rPr>
            <w:sz w:val="20"/>
            <w:color w:val="0000ff"/>
          </w:rPr>
          <w:t xml:space="preserve">приложение N 2 к</w:t>
        </w:r>
      </w:hyperlink>
      <w:r>
        <w:rPr>
          <w:sz w:val="20"/>
        </w:rPr>
        <w:t xml:space="preserve">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281" w:tooltip="МИНИМАЛЬНЫЕ ТРЕБОВАНИЯ К РЕЗУЛЬТАТАМ ОСВОЕНИЯ ОСНОВНЫХ">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12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и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0"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0"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1&gt;.">
        <w:r>
          <w:rPr>
            <w:sz w:val="20"/>
            <w:color w:val="0000ff"/>
          </w:rPr>
          <w:t xml:space="preserve">пункте 1.7</w:t>
        </w:r>
      </w:hyperlink>
      <w:r>
        <w:rPr>
          <w:sz w:val="20"/>
        </w:rPr>
        <w:t xml:space="preserve"> ФГОС СПО, не реже одного раза в три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0"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2"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4"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35.02.05 Агрономия,</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13 июля 2021 г. N 444</w:t>
      </w:r>
    </w:p>
    <w:p>
      <w:pPr>
        <w:pStyle w:val="0"/>
        <w:jc w:val="both"/>
      </w:pPr>
      <w:r>
        <w:rPr>
          <w:sz w:val="20"/>
        </w:rPr>
      </w:r>
    </w:p>
    <w:bookmarkStart w:id="224" w:name="P224"/>
    <w:bookmarkEnd w:id="224"/>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35.02.05 АГРОНОМИЯ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76"/>
      </w:tblGrid>
      <w:tr>
        <w:tc>
          <w:tcPr>
            <w:tcW w:w="2494" w:type="dxa"/>
          </w:tcPr>
          <w:p>
            <w:pPr>
              <w:pStyle w:val="0"/>
              <w:jc w:val="center"/>
            </w:pPr>
            <w:r>
              <w:rPr>
                <w:sz w:val="20"/>
              </w:rPr>
              <w:t xml:space="preserve">Код профессионального стандарта</w:t>
            </w:r>
          </w:p>
        </w:tc>
        <w:tc>
          <w:tcPr>
            <w:tcW w:w="6576" w:type="dxa"/>
          </w:tcPr>
          <w:p>
            <w:pPr>
              <w:pStyle w:val="0"/>
              <w:jc w:val="center"/>
            </w:pPr>
            <w:r>
              <w:rPr>
                <w:sz w:val="20"/>
              </w:rPr>
              <w:t xml:space="preserve">Наименование профессионального стандарта</w:t>
            </w:r>
          </w:p>
        </w:tc>
      </w:tr>
      <w:tr>
        <w:tc>
          <w:tcPr>
            <w:tcW w:w="2494" w:type="dxa"/>
          </w:tcPr>
          <w:p>
            <w:pPr>
              <w:pStyle w:val="0"/>
            </w:pPr>
            <w:r>
              <w:rPr>
                <w:sz w:val="20"/>
              </w:rPr>
              <w:t xml:space="preserve">13.017</w:t>
            </w:r>
          </w:p>
        </w:tc>
        <w:tc>
          <w:tcPr>
            <w:tcW w:w="6576" w:type="dxa"/>
          </w:tcPr>
          <w:p>
            <w:pPr>
              <w:pStyle w:val="0"/>
              <w:jc w:val="both"/>
            </w:pPr>
            <w:r>
              <w:rPr>
                <w:sz w:val="20"/>
              </w:rPr>
              <w:t xml:space="preserve">Профессиональный </w:t>
            </w:r>
            <w:hyperlink w:history="0" r:id="rId25" w:tooltip="Приказ Минтруда России от 09.07.2018 N 454н &quot;Об утверждении профессионального стандарта &quot;Агроном&quot; (Зарегистрировано в Минюсте России 27.07.2018 N 51709) ------------ Утратил силу или отменен {КонсультантПлюс}">
              <w:r>
                <w:rPr>
                  <w:sz w:val="20"/>
                  <w:color w:val="0000ff"/>
                </w:rPr>
                <w:t xml:space="preserve">стандарт</w:t>
              </w:r>
            </w:hyperlink>
            <w:r>
              <w:rPr>
                <w:sz w:val="20"/>
              </w:rPr>
              <w:t xml:space="preserve"> "Агроном", утвержденный приказом Министерства труда и социальной защиты Российской Федерации от 9 июля 2018 г. N 454н (зарегистрирован Министерством юстиции Российской Федерации 27 июля 2018 г., регистрационный N 51709)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35.02.05 Агрономия,</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13 июля 2021 г. N 444</w:t>
      </w:r>
    </w:p>
    <w:p>
      <w:pPr>
        <w:pStyle w:val="0"/>
        <w:jc w:val="both"/>
      </w:pPr>
      <w:r>
        <w:rPr>
          <w:sz w:val="20"/>
        </w:rPr>
      </w:r>
    </w:p>
    <w:bookmarkStart w:id="248" w:name="P248"/>
    <w:bookmarkEnd w:id="248"/>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w:t>
      </w:r>
    </w:p>
    <w:p>
      <w:pPr>
        <w:pStyle w:val="2"/>
        <w:jc w:val="center"/>
      </w:pPr>
      <w:r>
        <w:rPr>
          <w:sz w:val="20"/>
        </w:rPr>
        <w:t xml:space="preserve">35.02.05 АГРОНОМИЯ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Код по Перечню профессий рабочих, должностей служащих, по которым осуществляется профессиональное обучение </w:t>
            </w:r>
            <w:hyperlink w:history="0" w:anchor="P266" w:tooltip="&lt;6&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&lt;6&gt;</w:t>
              </w:r>
            </w:hyperlink>
          </w:p>
        </w:tc>
        <w:tc>
          <w:tcPr>
            <w:tcW w:w="4535" w:type="dxa"/>
          </w:tcPr>
          <w:p>
            <w:pPr>
              <w:pStyle w:val="0"/>
              <w:jc w:val="center"/>
            </w:pPr>
            <w:r>
              <w:rPr>
                <w:sz w:val="20"/>
              </w:rPr>
              <w:t xml:space="preserve">Наименование профессий рабочих, должностей служащих</w:t>
            </w:r>
          </w:p>
        </w:tc>
      </w:tr>
      <w:tr>
        <w:tc>
          <w:tcPr>
            <w:tcW w:w="4535" w:type="dxa"/>
          </w:tcPr>
          <w:p>
            <w:pPr>
              <w:pStyle w:val="0"/>
              <w:jc w:val="center"/>
            </w:pPr>
            <w:hyperlink w:history="0" r:id="rId2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17798</w:t>
              </w:r>
            </w:hyperlink>
          </w:p>
        </w:tc>
        <w:tc>
          <w:tcPr>
            <w:tcW w:w="4535" w:type="dxa"/>
          </w:tcPr>
          <w:p>
            <w:pPr>
              <w:pStyle w:val="0"/>
              <w:jc w:val="center"/>
            </w:pPr>
            <w:r>
              <w:rPr>
                <w:sz w:val="20"/>
              </w:rPr>
              <w:t xml:space="preserve">Растильщик грибницы</w:t>
            </w:r>
          </w:p>
        </w:tc>
      </w:tr>
      <w:tr>
        <w:tc>
          <w:tcPr>
            <w:tcW w:w="4535" w:type="dxa"/>
          </w:tcPr>
          <w:p>
            <w:pPr>
              <w:pStyle w:val="0"/>
              <w:jc w:val="center"/>
            </w:pP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18103</w:t>
              </w:r>
            </w:hyperlink>
          </w:p>
        </w:tc>
        <w:tc>
          <w:tcPr>
            <w:tcW w:w="4535" w:type="dxa"/>
          </w:tcPr>
          <w:p>
            <w:pPr>
              <w:pStyle w:val="0"/>
              <w:jc w:val="center"/>
            </w:pPr>
            <w:r>
              <w:rPr>
                <w:sz w:val="20"/>
              </w:rPr>
              <w:t xml:space="preserve">Садовник</w:t>
            </w:r>
          </w:p>
        </w:tc>
      </w:tr>
      <w:tr>
        <w:tc>
          <w:tcPr>
            <w:tcW w:w="4535" w:type="dxa"/>
          </w:tcPr>
          <w:p>
            <w:pPr>
              <w:pStyle w:val="0"/>
              <w:jc w:val="center"/>
            </w:pP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19205</w:t>
              </w:r>
            </w:hyperlink>
          </w:p>
        </w:tc>
        <w:tc>
          <w:tcPr>
            <w:tcW w:w="4535" w:type="dxa"/>
          </w:tcPr>
          <w:p>
            <w:pPr>
              <w:pStyle w:val="0"/>
              <w:jc w:val="center"/>
            </w:pPr>
            <w:r>
              <w:rPr>
                <w:sz w:val="20"/>
              </w:rPr>
              <w:t xml:space="preserve">Тракторист-машинист сельскохозяйственного производства</w:t>
            </w:r>
          </w:p>
        </w:tc>
      </w:tr>
    </w:tbl>
    <w:p>
      <w:pPr>
        <w:pStyle w:val="0"/>
        <w:jc w:val="both"/>
      </w:pPr>
      <w:r>
        <w:rPr>
          <w:sz w:val="20"/>
        </w:rPr>
      </w:r>
    </w:p>
    <w:p>
      <w:pPr>
        <w:pStyle w:val="0"/>
        <w:ind w:firstLine="540"/>
        <w:jc w:val="both"/>
      </w:pPr>
      <w:r>
        <w:rPr>
          <w:sz w:val="20"/>
        </w:rPr>
        <w:t xml:space="preserve">--------------------------------</w:t>
      </w:r>
    </w:p>
    <w:bookmarkStart w:id="266" w:name="P266"/>
    <w:bookmarkEnd w:id="266"/>
    <w:p>
      <w:pPr>
        <w:pStyle w:val="0"/>
        <w:spacing w:before="200" w:line-rule="auto"/>
        <w:ind w:firstLine="540"/>
        <w:jc w:val="both"/>
      </w:pPr>
      <w:hyperlink w:history="0"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&lt;6&gt;</w:t>
        </w:r>
      </w:hyperlink>
      <w:r>
        <w:rPr>
          <w:sz w:val="20"/>
        </w:rPr>
        <w:t xml:space="preserve"> </w:t>
      </w: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35.02.05 Агрономия,</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13 июля 2021 г. N 444</w:t>
      </w:r>
    </w:p>
    <w:p>
      <w:pPr>
        <w:pStyle w:val="0"/>
        <w:jc w:val="both"/>
      </w:pPr>
      <w:r>
        <w:rPr>
          <w:sz w:val="20"/>
        </w:rPr>
      </w:r>
    </w:p>
    <w:bookmarkStart w:id="281" w:name="P281"/>
    <w:bookmarkEnd w:id="281"/>
    <w:p>
      <w:pPr>
        <w:pStyle w:val="2"/>
        <w:jc w:val="center"/>
      </w:pPr>
      <w:r>
        <w:rPr>
          <w:sz w:val="20"/>
        </w:rPr>
        <w:t xml:space="preserve">МИНИМАЛЬНЫЕ ТРЕБОВАНИЯ К РЕЗУЛЬТАТАМ ОСВОЕНИЯ ОСНОВНЫХ</w:t>
      </w:r>
    </w:p>
    <w:p>
      <w:pPr>
        <w:pStyle w:val="2"/>
        <w:jc w:val="center"/>
      </w:pPr>
      <w:r>
        <w:rPr>
          <w:sz w:val="20"/>
        </w:rPr>
        <w:t xml:space="preserve">ВИДОВ ДЕЯТЕЛЬНОСТИ ОБРАЗОВАТЕЛЬНОЙ ПРОГРАММЫ СРЕДНЕГО</w:t>
      </w:r>
    </w:p>
    <w:p>
      <w:pPr>
        <w:pStyle w:val="2"/>
        <w:jc w:val="center"/>
      </w:pPr>
      <w:r>
        <w:rPr>
          <w:sz w:val="20"/>
        </w:rPr>
        <w:t xml:space="preserve">ПРОФЕССИОНАЛЬНОГО ОБРАЗОВАНИЯ ПО СПЕЦИАЛЬНОСТИ</w:t>
      </w:r>
    </w:p>
    <w:p>
      <w:pPr>
        <w:pStyle w:val="2"/>
        <w:jc w:val="center"/>
      </w:pPr>
      <w:r>
        <w:rPr>
          <w:sz w:val="20"/>
        </w:rPr>
        <w:t xml:space="preserve">35.02.05 АГРОНОМИЯ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89"/>
      </w:tblGrid>
      <w:tr>
        <w:tc>
          <w:tcPr>
            <w:tcW w:w="2381" w:type="dxa"/>
          </w:tcPr>
          <w:p>
            <w:pPr>
              <w:pStyle w:val="0"/>
              <w:jc w:val="center"/>
            </w:pPr>
            <w:r>
              <w:rPr>
                <w:sz w:val="20"/>
              </w:rPr>
              <w:t xml:space="preserve">Основной вид деятельности</w:t>
            </w:r>
          </w:p>
        </w:tc>
        <w:tc>
          <w:tcPr>
            <w:tcW w:w="6689" w:type="dxa"/>
          </w:tcPr>
          <w:p>
            <w:pPr>
              <w:pStyle w:val="0"/>
              <w:jc w:val="center"/>
            </w:pPr>
            <w:r>
              <w:rPr>
                <w:sz w:val="20"/>
              </w:rPr>
              <w:t xml:space="preserve">Требования к знаниям, умениям, практическому опыту</w:t>
            </w:r>
          </w:p>
        </w:tc>
      </w:tr>
      <w:tr>
        <w:tc>
          <w:tcPr>
            <w:tcW w:w="2381" w:type="dxa"/>
          </w:tcPr>
          <w:p>
            <w:pPr>
              <w:pStyle w:val="0"/>
            </w:pPr>
            <w:r>
              <w:rPr>
                <w:sz w:val="20"/>
              </w:rPr>
              <w:t xml:space="preserve">Организация работы растениеводческих бригад в соответствии с технологическими картами возделывания сельскохозяйственных культур</w:t>
            </w:r>
          </w:p>
        </w:tc>
        <w:tc>
          <w:tcPr>
            <w:tcW w:w="6689" w:type="dxa"/>
          </w:tcPr>
          <w:p>
            <w:pPr>
              <w:pStyle w:val="0"/>
              <w:jc w:val="both"/>
            </w:pPr>
            <w:r>
              <w:rPr>
                <w:sz w:val="20"/>
              </w:rPr>
              <w:t xml:space="preserve">знать:</w:t>
            </w:r>
          </w:p>
          <w:p>
            <w:pPr>
              <w:pStyle w:val="0"/>
              <w:ind w:firstLine="283"/>
              <w:jc w:val="both"/>
            </w:pPr>
            <w:r>
              <w:rPr>
                <w:sz w:val="20"/>
              </w:rPr>
              <w:t xml:space="preserve">технологии возделывания сельскохозяйственных культур в открытом и закрытом грунте;</w:t>
            </w:r>
          </w:p>
          <w:p>
            <w:pPr>
              <w:pStyle w:val="0"/>
              <w:ind w:firstLine="283"/>
              <w:jc w:val="both"/>
            </w:pPr>
            <w:r>
              <w:rPr>
                <w:sz w:val="20"/>
              </w:rPr>
              <w:t xml:space="preserve">оптимальные сроки проведения технологических операций по возделыванию сельскохозяйственных культур;</w:t>
            </w:r>
          </w:p>
          <w:p>
            <w:pPr>
              <w:pStyle w:val="0"/>
              <w:ind w:firstLine="283"/>
              <w:jc w:val="both"/>
            </w:pPr>
            <w:r>
              <w:rPr>
                <w:sz w:val="20"/>
              </w:rPr>
              <w:t xml:space="preserve">сменные нормы выработки на сельскохозяйственные механизированные и ручные работы;</w:t>
            </w:r>
          </w:p>
          <w:p>
            <w:pPr>
              <w:pStyle w:val="0"/>
              <w:ind w:firstLine="283"/>
              <w:jc w:val="both"/>
            </w:pPr>
            <w:r>
              <w:rPr>
                <w:sz w:val="20"/>
              </w:rPr>
              <w:t xml:space="preserve">требования к качеству выполнения технологических операций в соответствие с технологическими картами, ГОСТами и регламентами;</w:t>
            </w:r>
          </w:p>
          <w:p>
            <w:pPr>
              <w:pStyle w:val="0"/>
              <w:ind w:firstLine="283"/>
              <w:jc w:val="both"/>
            </w:pPr>
            <w:r>
              <w:rPr>
                <w:sz w:val="20"/>
              </w:rPr>
              <w:t xml:space="preserve">методы контроля качества технологических операций в растениеводстве;</w:t>
            </w:r>
          </w:p>
          <w:p>
            <w:pPr>
              <w:pStyle w:val="0"/>
              <w:ind w:firstLine="283"/>
              <w:jc w:val="both"/>
            </w:pPr>
            <w:r>
              <w:rPr>
                <w:sz w:val="20"/>
              </w:rPr>
              <w:t xml:space="preserve">факторы, влияющие на качество выполнения технологических операций в растениеводстве;</w:t>
            </w:r>
          </w:p>
          <w:p>
            <w:pPr>
              <w:pStyle w:val="0"/>
              <w:ind w:firstLine="283"/>
              <w:jc w:val="both"/>
            </w:pPr>
            <w:r>
              <w:rPr>
                <w:sz w:val="20"/>
              </w:rPr>
              <w:t xml:space="preserve">способы технологических регулировок машин и механизмов, используемых для реализации технологических операций;</w:t>
            </w:r>
          </w:p>
          <w:p>
            <w:pPr>
              <w:pStyle w:val="0"/>
              <w:ind w:firstLine="283"/>
              <w:jc w:val="both"/>
            </w:pPr>
            <w:r>
              <w:rPr>
                <w:sz w:val="20"/>
              </w:rPr>
              <w:t xml:space="preserve">требования охраны труда в сельском хозяйстве.</w:t>
            </w:r>
          </w:p>
          <w:p>
            <w:pPr>
              <w:pStyle w:val="0"/>
              <w:jc w:val="both"/>
            </w:pPr>
            <w:r>
              <w:rPr>
                <w:sz w:val="20"/>
              </w:rPr>
              <w:t xml:space="preserve">уметь:</w:t>
            </w:r>
          </w:p>
          <w:p>
            <w:pPr>
              <w:pStyle w:val="0"/>
              <w:ind w:firstLine="283"/>
              <w:jc w:val="both"/>
            </w:pPr>
            <w:r>
              <w:rPr>
                <w:sz w:val="20"/>
              </w:rPr>
              <w:t xml:space="preserve">устанавливать последовательность и календарные сроки проведения технологических операций, в том числе с учетом фактических погодных условий;</w:t>
            </w:r>
          </w:p>
          <w:p>
            <w:pPr>
              <w:pStyle w:val="0"/>
              <w:ind w:firstLine="283"/>
              <w:jc w:val="both"/>
            </w:pPr>
            <w:r>
              <w:rPr>
                <w:sz w:val="20"/>
              </w:rPr>
              <w:t xml:space="preserve">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w:t>
            </w:r>
          </w:p>
          <w:p>
            <w:pPr>
              <w:pStyle w:val="0"/>
              <w:ind w:firstLine="283"/>
              <w:jc w:val="both"/>
            </w:pPr>
            <w:r>
              <w:rPr>
                <w:sz w:val="20"/>
              </w:rPr>
              <w:t xml:space="preserve">определять виды и объем работ для растениеводческих бригад (звеньев, работников) на смену;</w:t>
            </w:r>
          </w:p>
          <w:p>
            <w:pPr>
              <w:pStyle w:val="0"/>
              <w:ind w:firstLine="283"/>
              <w:jc w:val="both"/>
            </w:pPr>
            <w:r>
              <w:rPr>
                <w:sz w:val="20"/>
              </w:rPr>
              <w:t xml:space="preserve">определять агротехнические требования к выполнению работ в соответствии с технологическими картами, государственными стандартами (ГОСТами) и регламентами;</w:t>
            </w:r>
          </w:p>
          <w:p>
            <w:pPr>
              <w:pStyle w:val="0"/>
              <w:ind w:firstLine="283"/>
              <w:jc w:val="both"/>
            </w:pPr>
            <w:r>
              <w:rPr>
                <w:sz w:val="20"/>
              </w:rPr>
              <w:t xml:space="preserve">выдавать задания бригадам (звеньям, работникам), сопровождать их четкими инструкциями по выполнению;</w:t>
            </w:r>
          </w:p>
          <w:p>
            <w:pPr>
              <w:pStyle w:val="0"/>
              <w:ind w:firstLine="283"/>
              <w:jc w:val="both"/>
            </w:pPr>
            <w:r>
              <w:rPr>
                <w:sz w:val="20"/>
              </w:rPr>
              <w:t xml:space="preserve">пользоваться методами контроля качества выполнения технологических операций;</w:t>
            </w:r>
          </w:p>
          <w:p>
            <w:pPr>
              <w:pStyle w:val="0"/>
              <w:ind w:firstLine="283"/>
              <w:jc w:val="both"/>
            </w:pPr>
            <w:r>
              <w:rPr>
                <w:sz w:val="20"/>
              </w:rPr>
              <w:t xml:space="preserve">осуществлять технологические регулировки почвообрабатывающих и посевных агрегатов, используемых для реализации технологических операций;</w:t>
            </w:r>
          </w:p>
          <w:p>
            <w:pPr>
              <w:pStyle w:val="0"/>
              <w:jc w:val="both"/>
            </w:pPr>
            <w:r>
              <w:rPr>
                <w:sz w:val="20"/>
              </w:rPr>
              <w:t xml:space="preserve">иметь практический опыт в:</w:t>
            </w:r>
          </w:p>
          <w:p>
            <w:pPr>
              <w:pStyle w:val="0"/>
              <w:ind w:firstLine="283"/>
              <w:jc w:val="both"/>
            </w:pPr>
            <w:r>
              <w:rPr>
                <w:sz w:val="20"/>
              </w:rPr>
              <w:t xml:space="preserve">подготовке рабочих планов-графиков выполнения полевых работ;</w:t>
            </w:r>
          </w:p>
          <w:p>
            <w:pPr>
              <w:pStyle w:val="0"/>
              <w:ind w:firstLine="283"/>
              <w:jc w:val="both"/>
            </w:pPr>
            <w:r>
              <w:rPr>
                <w:sz w:val="20"/>
              </w:rPr>
              <w:t xml:space="preserve">разработке заданий для растениеводческих бригад (звеньев, работников) в соответствие с планом-графиком выполнения работ;</w:t>
            </w:r>
          </w:p>
          <w:p>
            <w:pPr>
              <w:pStyle w:val="0"/>
              <w:ind w:firstLine="283"/>
              <w:jc w:val="both"/>
            </w:pPr>
            <w:r>
              <w:rPr>
                <w:sz w:val="20"/>
              </w:rPr>
              <w:t xml:space="preserve">инструктировании работников растениеводческих бригад по выполнению производственных заданий;</w:t>
            </w:r>
          </w:p>
          <w:p>
            <w:pPr>
              <w:pStyle w:val="0"/>
              <w:ind w:firstLine="283"/>
              <w:jc w:val="both"/>
            </w:pPr>
            <w:r>
              <w:rPr>
                <w:sz w:val="20"/>
              </w:rPr>
              <w:t xml:space="preserve">осуществлении оперативного контроля качества выполнения технологических операций;</w:t>
            </w:r>
          </w:p>
          <w:p>
            <w:pPr>
              <w:pStyle w:val="0"/>
              <w:ind w:firstLine="283"/>
              <w:jc w:val="both"/>
            </w:pPr>
            <w:r>
              <w:rPr>
                <w:sz w:val="20"/>
              </w:rPr>
              <w:t xml:space="preserve">устранении выявленных в ходе контроля качества технологических операций дефектов и недостатков;</w:t>
            </w:r>
          </w:p>
          <w:p>
            <w:pPr>
              <w:pStyle w:val="0"/>
              <w:ind w:firstLine="283"/>
              <w:jc w:val="both"/>
            </w:pPr>
            <w:r>
              <w:rPr>
                <w:sz w:val="20"/>
              </w:rPr>
              <w:t xml:space="preserve">подготовке информации для составления первичной отчетности</w:t>
            </w:r>
          </w:p>
        </w:tc>
      </w:tr>
      <w:tr>
        <w:tc>
          <w:tcPr>
            <w:tcW w:w="2381" w:type="dxa"/>
          </w:tcPr>
          <w:p>
            <w:pPr>
              <w:pStyle w:val="0"/>
            </w:pPr>
            <w:r>
              <w:rPr>
                <w:sz w:val="20"/>
              </w:rPr>
              <w:t xml:space="preserve">Контроль процесса развития растений в течение вегетации</w:t>
            </w:r>
          </w:p>
        </w:tc>
        <w:tc>
          <w:tcPr>
            <w:tcW w:w="6689" w:type="dxa"/>
          </w:tcPr>
          <w:p>
            <w:pPr>
              <w:pStyle w:val="0"/>
              <w:jc w:val="both"/>
            </w:pPr>
            <w:r>
              <w:rPr>
                <w:sz w:val="20"/>
              </w:rPr>
              <w:t xml:space="preserve">знать:</w:t>
            </w:r>
          </w:p>
          <w:p>
            <w:pPr>
              <w:pStyle w:val="0"/>
              <w:ind w:firstLine="283"/>
              <w:jc w:val="both"/>
            </w:pPr>
            <w:r>
              <w:rPr>
                <w:sz w:val="20"/>
              </w:rPr>
              <w:t xml:space="preserve">фенологические фазы развития растений и морфологические признаки растений в различные фазы развития;</w:t>
            </w:r>
          </w:p>
          <w:p>
            <w:pPr>
              <w:pStyle w:val="0"/>
              <w:ind w:firstLine="283"/>
              <w:jc w:val="both"/>
            </w:pPr>
            <w:r>
              <w:rPr>
                <w:sz w:val="20"/>
              </w:rPr>
              <w:t xml:space="preserve">методику фенологических наблюдений за растениями;</w:t>
            </w:r>
          </w:p>
          <w:p>
            <w:pPr>
              <w:pStyle w:val="0"/>
              <w:ind w:firstLine="283"/>
              <w:jc w:val="both"/>
            </w:pPr>
            <w:r>
              <w:rPr>
                <w:sz w:val="20"/>
              </w:rPr>
              <w:t xml:space="preserve">фазы развития растений, в которые производится уборка;</w:t>
            </w:r>
          </w:p>
          <w:p>
            <w:pPr>
              <w:pStyle w:val="0"/>
              <w:ind w:firstLine="283"/>
              <w:jc w:val="both"/>
            </w:pPr>
            <w:r>
              <w:rPr>
                <w:sz w:val="20"/>
              </w:rPr>
              <w:t xml:space="preserve">биологические особенности сельскохозяйственных культур при созревании;</w:t>
            </w:r>
          </w:p>
          <w:p>
            <w:pPr>
              <w:pStyle w:val="0"/>
              <w:ind w:firstLine="283"/>
              <w:jc w:val="both"/>
            </w:pPr>
            <w:r>
              <w:rPr>
                <w:sz w:val="20"/>
              </w:rPr>
              <w:t xml:space="preserve">методы определения готовности культур к уборке;</w:t>
            </w:r>
          </w:p>
          <w:p>
            <w:pPr>
              <w:pStyle w:val="0"/>
              <w:ind w:firstLine="283"/>
              <w:jc w:val="both"/>
            </w:pPr>
            <w:r>
              <w:rPr>
                <w:sz w:val="20"/>
              </w:rPr>
              <w:t xml:space="preserve">визуальные и количественные методы определения общего состояния посевов, полевой всхожести, густоты стояния, перезимовки озимых и многолетних культур;</w:t>
            </w:r>
          </w:p>
          <w:p>
            <w:pPr>
              <w:pStyle w:val="0"/>
              <w:ind w:firstLine="283"/>
              <w:jc w:val="both"/>
            </w:pPr>
            <w:r>
              <w:rPr>
                <w:sz w:val="20"/>
              </w:rPr>
              <w:t xml:space="preserve">методы оценки состояния посевов с использованием дистанционного зондирования и беспилотных летательных аппаратов;</w:t>
            </w:r>
          </w:p>
          <w:p>
            <w:pPr>
              <w:pStyle w:val="0"/>
              <w:ind w:firstLine="283"/>
              <w:jc w:val="both"/>
            </w:pPr>
            <w:r>
              <w:rPr>
                <w:sz w:val="20"/>
              </w:rPr>
              <w:t xml:space="preserve">морфологические признаки культурных и сорных растений;</w:t>
            </w:r>
          </w:p>
          <w:p>
            <w:pPr>
              <w:pStyle w:val="0"/>
              <w:ind w:firstLine="283"/>
              <w:jc w:val="both"/>
            </w:pPr>
            <w:r>
              <w:rPr>
                <w:sz w:val="20"/>
              </w:rPr>
              <w:t xml:space="preserve">методы определения засоренности посевов;</w:t>
            </w:r>
          </w:p>
          <w:p>
            <w:pPr>
              <w:pStyle w:val="0"/>
              <w:ind w:firstLine="283"/>
              <w:jc w:val="both"/>
            </w:pPr>
            <w:r>
              <w:rPr>
                <w:sz w:val="20"/>
              </w:rPr>
              <w:t xml:space="preserve">вредителей и болезни сельскохозяйственных культур;</w:t>
            </w:r>
          </w:p>
          <w:p>
            <w:pPr>
              <w:pStyle w:val="0"/>
              <w:ind w:firstLine="283"/>
              <w:jc w:val="both"/>
            </w:pPr>
            <w:r>
              <w:rPr>
                <w:sz w:val="20"/>
              </w:rPr>
              <w:t xml:space="preserve">признаки поражения сельскохозяйственных культур вредителями и болезнями;</w:t>
            </w:r>
          </w:p>
          <w:p>
            <w:pPr>
              <w:pStyle w:val="0"/>
              <w:ind w:firstLine="283"/>
              <w:jc w:val="both"/>
            </w:pPr>
            <w:r>
              <w:rPr>
                <w:sz w:val="20"/>
              </w:rPr>
              <w:t xml:space="preserve">методы учета сорняков, болезней и вредителей сельскохозяйственных культур;</w:t>
            </w:r>
          </w:p>
          <w:p>
            <w:pPr>
              <w:pStyle w:val="0"/>
              <w:ind w:firstLine="283"/>
              <w:jc w:val="both"/>
            </w:pPr>
            <w:r>
              <w:rPr>
                <w:sz w:val="20"/>
              </w:rPr>
              <w:t xml:space="preserve">способы анализа и обработки информации, полученной в ходе процесса развития растений;</w:t>
            </w:r>
          </w:p>
          <w:p>
            <w:pPr>
              <w:pStyle w:val="0"/>
              <w:ind w:firstLine="283"/>
              <w:jc w:val="both"/>
            </w:pPr>
            <w:r>
              <w:rPr>
                <w:sz w:val="20"/>
              </w:rPr>
              <w:t xml:space="preserve">правила ведения электронной базы данных истории полей;</w:t>
            </w:r>
          </w:p>
          <w:p>
            <w:pPr>
              <w:pStyle w:val="0"/>
              <w:ind w:firstLine="283"/>
              <w:jc w:val="both"/>
            </w:pPr>
            <w:r>
              <w:rPr>
                <w:sz w:val="20"/>
              </w:rPr>
              <w:t xml:space="preserve">требования охраны труда в сельском хозяйстве;</w:t>
            </w:r>
          </w:p>
          <w:p>
            <w:pPr>
              <w:pStyle w:val="0"/>
              <w:jc w:val="both"/>
            </w:pPr>
            <w:r>
              <w:rPr>
                <w:sz w:val="20"/>
              </w:rPr>
              <w:t xml:space="preserve">уметь:</w:t>
            </w:r>
          </w:p>
          <w:p>
            <w:pPr>
              <w:pStyle w:val="0"/>
              <w:ind w:firstLine="283"/>
              <w:jc w:val="both"/>
            </w:pPr>
            <w:r>
              <w:rPr>
                <w:sz w:val="20"/>
              </w:rPr>
              <w:t xml:space="preserve">выбирать методы контроля состояния сельскохозяйственных культур, фитосанитарного состояния посевов, состояния почв;</w:t>
            </w:r>
          </w:p>
          <w:p>
            <w:pPr>
              <w:pStyle w:val="0"/>
              <w:ind w:firstLine="283"/>
              <w:jc w:val="both"/>
            </w:pPr>
            <w:r>
              <w:rPr>
                <w:sz w:val="20"/>
              </w:rPr>
              <w:t xml:space="preserve">определять оптимальные сроки и масштабы контроля процесса развития растений в течение вегетации;</w:t>
            </w:r>
          </w:p>
          <w:p>
            <w:pPr>
              <w:pStyle w:val="0"/>
              <w:ind w:firstLine="283"/>
              <w:jc w:val="both"/>
            </w:pPr>
            <w:r>
              <w:rPr>
                <w:sz w:val="20"/>
              </w:rPr>
              <w:t xml:space="preserve">определять фенологические фазы развития растений на основе анализа их морфологических признаков;</w:t>
            </w:r>
          </w:p>
          <w:p>
            <w:pPr>
              <w:pStyle w:val="0"/>
              <w:ind w:firstLine="283"/>
              <w:jc w:val="both"/>
            </w:pPr>
            <w:r>
              <w:rPr>
                <w:sz w:val="20"/>
              </w:rPr>
              <w:t xml:space="preserve">производить анализ готовности сельскохозяйственных культур к уборке;</w:t>
            </w:r>
          </w:p>
          <w:p>
            <w:pPr>
              <w:pStyle w:val="0"/>
              <w:ind w:firstLine="283"/>
              <w:jc w:val="both"/>
            </w:pPr>
            <w:r>
              <w:rPr>
                <w:sz w:val="20"/>
              </w:rPr>
              <w:t xml:space="preserve">определять урожайность сельскохозяйственных культур перед уборкой для планирования уборочной кампании;</w:t>
            </w:r>
          </w:p>
          <w:p>
            <w:pPr>
              <w:pStyle w:val="0"/>
              <w:ind w:firstLine="283"/>
              <w:jc w:val="both"/>
            </w:pPr>
            <w:r>
              <w:rPr>
                <w:sz w:val="20"/>
              </w:rPr>
              <w:t xml:space="preserve">использовать качественные и количественные методы оценки состояния посевов;</w:t>
            </w:r>
          </w:p>
          <w:p>
            <w:pPr>
              <w:pStyle w:val="0"/>
              <w:ind w:firstLine="283"/>
              <w:jc w:val="both"/>
            </w:pPr>
            <w:r>
              <w:rPr>
                <w:sz w:val="20"/>
              </w:rPr>
              <w:t xml:space="preserve">идентифицировать группы и виды культурных и сорных растений по их строению и внешним признакам;</w:t>
            </w:r>
          </w:p>
          <w:p>
            <w:pPr>
              <w:pStyle w:val="0"/>
              <w:ind w:firstLine="283"/>
              <w:jc w:val="both"/>
            </w:pPr>
            <w:r>
              <w:rPr>
                <w:sz w:val="20"/>
              </w:rPr>
              <w:t xml:space="preserve">определять степень засоренности посевов глазомерным (визуальным) и количественным методом;</w:t>
            </w:r>
          </w:p>
          <w:p>
            <w:pPr>
              <w:pStyle w:val="0"/>
              <w:ind w:firstLine="283"/>
              <w:jc w:val="both"/>
            </w:pPr>
            <w:r>
              <w:rPr>
                <w:sz w:val="20"/>
              </w:rPr>
              <w:t xml:space="preserve">идентифицировать поражения сельскохозяйственных культур вредителями и болезнями;</w:t>
            </w:r>
          </w:p>
          <w:p>
            <w:pPr>
              <w:pStyle w:val="0"/>
              <w:ind w:firstLine="283"/>
              <w:jc w:val="both"/>
            </w:pPr>
            <w:r>
              <w:rPr>
                <w:sz w:val="20"/>
              </w:rPr>
              <w:t xml:space="preserve">определять распространенность вредителей и болезней, вредоносность и пораженность ими сельскохозяйственных культур;</w:t>
            </w:r>
          </w:p>
          <w:p>
            <w:pPr>
              <w:pStyle w:val="0"/>
              <w:ind w:firstLine="283"/>
              <w:jc w:val="both"/>
            </w:pPr>
            <w:r>
              <w:rPr>
                <w:sz w:val="20"/>
              </w:rPr>
              <w:t xml:space="preserve">пользоваться специальным оборудованием при проведении почвенной и растительной диагностики в полевых условиях;</w:t>
            </w:r>
          </w:p>
          <w:p>
            <w:pPr>
              <w:pStyle w:val="0"/>
              <w:ind w:firstLine="283"/>
              <w:jc w:val="both"/>
            </w:pPr>
            <w:r>
              <w:rPr>
                <w:sz w:val="20"/>
              </w:rPr>
              <w:t xml:space="preserve">выявлять причинно-следственные связи между состоянием сельскохозяйственных растений, воздействием факторов внешней среды и проводимыми агротехническими мероприятиями;</w:t>
            </w:r>
          </w:p>
          <w:p>
            <w:pPr>
              <w:pStyle w:val="0"/>
              <w:ind w:firstLine="283"/>
              <w:jc w:val="both"/>
            </w:pPr>
            <w:r>
              <w:rPr>
                <w:sz w:val="20"/>
              </w:rPr>
              <w:t xml:space="preserve">пользоваться специальными программами для ведения электронной базы данных истории полей;</w:t>
            </w:r>
          </w:p>
          <w:p>
            <w:pPr>
              <w:pStyle w:val="0"/>
              <w:jc w:val="both"/>
            </w:pPr>
            <w:r>
              <w:rPr>
                <w:sz w:val="20"/>
              </w:rPr>
              <w:t xml:space="preserve">иметь практический опыт в:</w:t>
            </w:r>
          </w:p>
          <w:p>
            <w:pPr>
              <w:pStyle w:val="0"/>
              <w:ind w:firstLine="283"/>
              <w:jc w:val="both"/>
            </w:pPr>
            <w:r>
              <w:rPr>
                <w:sz w:val="20"/>
              </w:rPr>
              <w:t xml:space="preserve">составлении программ контроля развития растений в течение вегетации;</w:t>
            </w:r>
          </w:p>
          <w:p>
            <w:pPr>
              <w:pStyle w:val="0"/>
              <w:ind w:firstLine="283"/>
              <w:jc w:val="both"/>
            </w:pPr>
            <w:r>
              <w:rPr>
                <w:sz w:val="20"/>
              </w:rPr>
              <w:t xml:space="preserve">установлении календарных сроков проведения технологических операций на основе определения фенологических фаз развития растений;</w:t>
            </w:r>
          </w:p>
          <w:p>
            <w:pPr>
              <w:pStyle w:val="0"/>
              <w:ind w:firstLine="283"/>
              <w:jc w:val="both"/>
            </w:pPr>
            <w:r>
              <w:rPr>
                <w:sz w:val="20"/>
              </w:rPr>
              <w:t xml:space="preserve">определении видового состава сорных растений и степени засоренности посевов, запаса семян сорных растений в почве с целью совершенствования системы защиты растений от сорняков;</w:t>
            </w:r>
          </w:p>
          <w:p>
            <w:pPr>
              <w:pStyle w:val="0"/>
              <w:ind w:firstLine="283"/>
              <w:jc w:val="both"/>
            </w:pPr>
            <w:r>
              <w:rPr>
                <w:sz w:val="20"/>
              </w:rPr>
              <w:t xml:space="preserve">определении видового состава вредителей, плотности их популяций, вредоносности и степени повреждения растений с целью совершенствования системы защиты растений от вредителей;</w:t>
            </w:r>
          </w:p>
          <w:p>
            <w:pPr>
              <w:pStyle w:val="0"/>
              <w:ind w:firstLine="283"/>
              <w:jc w:val="both"/>
            </w:pPr>
            <w:r>
              <w:rPr>
                <w:sz w:val="20"/>
              </w:rPr>
              <w:t xml:space="preserve">проведении диагностики болезней растений, определение степени развития болезней и их распространенности с целью совершенствования системы защиты растений от болезней;</w:t>
            </w:r>
          </w:p>
          <w:p>
            <w:pPr>
              <w:pStyle w:val="0"/>
              <w:ind w:firstLine="283"/>
              <w:jc w:val="both"/>
            </w:pPr>
            <w:r>
              <w:rPr>
                <w:sz w:val="20"/>
              </w:rPr>
              <w:t xml:space="preserve">проведении комплексной (почвенной и растительной) диагностики питания растений с целью совершенствования системы применения удобрений;</w:t>
            </w:r>
          </w:p>
          <w:p>
            <w:pPr>
              <w:pStyle w:val="0"/>
              <w:ind w:firstLine="283"/>
              <w:jc w:val="both"/>
            </w:pPr>
            <w:r>
              <w:rPr>
                <w:sz w:val="20"/>
              </w:rPr>
              <w:t xml:space="preserve">проведении обработки и анализе результатов, полученных в ходе контроля развития растений в течение вегетации;</w:t>
            </w:r>
          </w:p>
          <w:p>
            <w:pPr>
              <w:pStyle w:val="0"/>
              <w:ind w:firstLine="283"/>
              <w:jc w:val="both"/>
            </w:pPr>
            <w:r>
              <w:rPr>
                <w:sz w:val="20"/>
              </w:rPr>
              <w:t xml:space="preserve">ведении электронной базы данных истории полей.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13.07.2021 N 444</w:t>
            <w:br/>
            <w:t>(ред. от 01.09.2022)</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E275328328ACB71F9F395EBE511E8447DD2E57C074111E46E3F10E046EEA5A8A34E996BAF07702B766D3882DD1A9764AE6DF37E31ECE572iAG7Q" TargetMode = "External"/>
	<Relationship Id="rId8" Type="http://schemas.openxmlformats.org/officeDocument/2006/relationships/hyperlink" Target="consultantplus://offline/ref=CE275328328ACB71F9F395EBE511E8447DD3EC7A004E11E46E3F10E046EEA5A8A34E996BAF027528766D3882DD1A9764AE6DF37E31ECE572iAG7Q" TargetMode = "External"/>
	<Relationship Id="rId9" Type="http://schemas.openxmlformats.org/officeDocument/2006/relationships/hyperlink" Target="consultantplus://offline/ref=CE275328328ACB71F9F395EBE511E8447AD9E479014A11E46E3F10E046EEA5A8A34E996BAF02752A756D3882DD1A9764AE6DF37E31ECE572iAG7Q" TargetMode = "External"/>
	<Relationship Id="rId10" Type="http://schemas.openxmlformats.org/officeDocument/2006/relationships/hyperlink" Target="consultantplus://offline/ref=CE275328328ACB71F9F395EBE511E84478D7EE72014111E46E3F10E046EEA5A8A34E996BAF02752C756D3882DD1A9764AE6DF37E31ECE572iAG7Q" TargetMode = "External"/>
	<Relationship Id="rId11" Type="http://schemas.openxmlformats.org/officeDocument/2006/relationships/hyperlink" Target="consultantplus://offline/ref=CE275328328ACB71F9F395EBE511E8447AD7EA7D044A11E46E3F10E046EEA5A8A34E996BAF03702C746D3882DD1A9764AE6DF37E31ECE572iAG7Q" TargetMode = "External"/>
	<Relationship Id="rId12" Type="http://schemas.openxmlformats.org/officeDocument/2006/relationships/hyperlink" Target="consultantplus://offline/ref=CE275328328ACB71F9F395EBE511E8447DD2E57C074111E46E3F10E046EEA5A8A34E996BAF07702B766D3882DD1A9764AE6DF37E31ECE572iAG7Q" TargetMode = "External"/>
	<Relationship Id="rId13" Type="http://schemas.openxmlformats.org/officeDocument/2006/relationships/hyperlink" Target="consultantplus://offline/ref=CE275328328ACB71F9F395EBE511E8447AD7EA7D044A11E46E3F10E046EEA5A8A34E996BAF027C2B746D3882DD1A9764AE6DF37E31ECE572iAG7Q" TargetMode = "External"/>
	<Relationship Id="rId14" Type="http://schemas.openxmlformats.org/officeDocument/2006/relationships/hyperlink" Target="consultantplus://offline/ref=CE275328328ACB71F9F395EBE511E8447BD1E97D074811E46E3F10E046EEA5A8A34E996BAF02752A736D3882DD1A9764AE6DF37E31ECE572iAG7Q" TargetMode = "External"/>
	<Relationship Id="rId15" Type="http://schemas.openxmlformats.org/officeDocument/2006/relationships/hyperlink" Target="consultantplus://offline/ref=CE275328328ACB71F9F395EBE511E8447BD1E97D074811E46E3F10E046EEA5A8A34E996BAF027529706D3882DD1A9764AE6DF37E31ECE572iAG7Q" TargetMode = "External"/>
	<Relationship Id="rId16" Type="http://schemas.openxmlformats.org/officeDocument/2006/relationships/hyperlink" Target="consultantplus://offline/ref=CE275328328ACB71F9F395EBE511E8447DD3EE7E064E11E46E3F10E046EEA5A8A34E996BAF0277297E6D3882DD1A9764AE6DF37E31ECE572iAG7Q" TargetMode = "External"/>
	<Relationship Id="rId17" Type="http://schemas.openxmlformats.org/officeDocument/2006/relationships/hyperlink" Target="consultantplus://offline/ref=CE275328328ACB71F9F395EBE511E8447DD2E57C074111E46E3F10E046EEA5A8A34E996BAF07702B756D3882DD1A9764AE6DF37E31ECE572iAG7Q" TargetMode = "External"/>
	<Relationship Id="rId18" Type="http://schemas.openxmlformats.org/officeDocument/2006/relationships/hyperlink" Target="consultantplus://offline/ref=CE275328328ACB71F9F395EBE511E8447DD1EC73064811E46E3F10E046EEA5A8A34E996BAF02752E776D3882DD1A9764AE6DF37E31ECE572iAG7Q" TargetMode = "External"/>
	<Relationship Id="rId19" Type="http://schemas.openxmlformats.org/officeDocument/2006/relationships/hyperlink" Target="consultantplus://offline/ref=CE275328328ACB71F9F395EBE511E8447DD2E57C074111E46E3F10E046EEA5A8A34E996BAF07702B736D3882DD1A9764AE6DF37E31ECE572iAG7Q" TargetMode = "External"/>
	<Relationship Id="rId20" Type="http://schemas.openxmlformats.org/officeDocument/2006/relationships/hyperlink" Target="consultantplus://offline/ref=CE275328328ACB71F9F395EBE511E8447DD2E57C074111E46E3F10E046EEA5A8A34E996BAF07702B716D3882DD1A9764AE6DF37E31ECE572iAG7Q" TargetMode = "External"/>
	<Relationship Id="rId21" Type="http://schemas.openxmlformats.org/officeDocument/2006/relationships/hyperlink" Target="consultantplus://offline/ref=CE275328328ACB71F9F395EBE511E8447DD2E57C074111E46E3F10E046EEA5A8A34E996BAF07702B7F6D3882DD1A9764AE6DF37E31ECE572iAG7Q" TargetMode = "External"/>
	<Relationship Id="rId22" Type="http://schemas.openxmlformats.org/officeDocument/2006/relationships/hyperlink" Target="consultantplus://offline/ref=CE275328328ACB71F9F395EBE511E8447DD3EE7E064E11E46E3F10E046EEA5A8B14EC167AE046B2C75786ED39Bi4GDQ" TargetMode = "External"/>
	<Relationship Id="rId23" Type="http://schemas.openxmlformats.org/officeDocument/2006/relationships/hyperlink" Target="consultantplus://offline/ref=CE275328328ACB71F9F395EBE511E8447DD2E57C074111E46E3F10E046EEA5A8A34E996BAF07702A7E6D3882DD1A9764AE6DF37E31ECE572iAG7Q" TargetMode = "External"/>
	<Relationship Id="rId24" Type="http://schemas.openxmlformats.org/officeDocument/2006/relationships/hyperlink" Target="consultantplus://offline/ref=CE275328328ACB71F9F395EBE511E8447DD3EC720D4011E46E3F10E046EEA5A8B14EC167AE046B2C75786ED39Bi4GDQ" TargetMode = "External"/>
	<Relationship Id="rId25" Type="http://schemas.openxmlformats.org/officeDocument/2006/relationships/hyperlink" Target="consultantplus://offline/ref=CE275328328ACB71F9F395EBE511E8447AD0EE7F024D11E46E3F10E046EEA5A8A34E996BAF02752C756D3882DD1A9764AE6DF37E31ECE572iAG7Q" TargetMode = "External"/>
	<Relationship Id="rId26" Type="http://schemas.openxmlformats.org/officeDocument/2006/relationships/hyperlink" Target="consultantplus://offline/ref=CE275328328ACB71F9F395EBE511E8447DD2E57C074111E46E3F10E046EEA5A8A34E996BAF077025726D3882DD1A9764AE6DF37E31ECE572iAG7Q" TargetMode = "External"/>
	<Relationship Id="rId27" Type="http://schemas.openxmlformats.org/officeDocument/2006/relationships/hyperlink" Target="consultantplus://offline/ref=CE275328328ACB71F9F395EBE511E8447AD8E472074B11E46E3F10E046EEA5A8A34E996BAF0A7C29746D3882DD1A9764AE6DF37E31ECE572iAG7Q" TargetMode = "External"/>
	<Relationship Id="rId28" Type="http://schemas.openxmlformats.org/officeDocument/2006/relationships/hyperlink" Target="consultantplus://offline/ref=CE275328328ACB71F9F395EBE511E8447AD8E472074B11E46E3F10E046EEA5A8A34E996BAE0A732A736D3882DD1A9764AE6DF37E31ECE572iAG7Q" TargetMode = "External"/>
	<Relationship Id="rId29" Type="http://schemas.openxmlformats.org/officeDocument/2006/relationships/hyperlink" Target="consultantplus://offline/ref=CE275328328ACB71F9F395EBE511E8447AD8E472074B11E46E3F10E046EEA5A8A34E996BAE0A732B756D3882DD1A9764AE6DF37E31ECE572iAG7Q" TargetMode = "External"/>
	<Relationship Id="rId30" Type="http://schemas.openxmlformats.org/officeDocument/2006/relationships/hyperlink" Target="consultantplus://offline/ref=CE275328328ACB71F9F395EBE511E8447DD2E57C074111E46E3F10E046EEA5A8A34E996BAF077025726D3882DD1A9764AE6DF37E31ECE572iAG7Q" TargetMode = "External"/>
	<Relationship Id="rId31" Type="http://schemas.openxmlformats.org/officeDocument/2006/relationships/hyperlink" Target="consultantplus://offline/ref=CE275328328ACB71F9F395EBE511E8447AD8E472074B11E46E3F10E046EEA5A8A34E996BAF02752C756D3882DD1A9764AE6DF37E31ECE572iAG7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13.07.2021 N 444
(ред. от 01.09.2022)
"Об утверждении федерального государственного образовательного стандарта среднего профессионального образования по специальности 35.02.05 Агрономия"
(Зарегистрировано в Минюсте России 17.08.2021 N 64664)</dc:title>
  <dcterms:created xsi:type="dcterms:W3CDTF">2022-12-16T16:06:34Z</dcterms:created>
</cp:coreProperties>
</file>