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21.04.2021 N 192</w:t>
              <w:br/>
              <w:t xml:space="preserve">"Об утверждении федерального государственного образовательного стандарта среднего профессионального образования по специальности 20.02.05 Организация оперативного (экстренного) реагирования в чрезвычайных ситуациях"</w:t>
              <w:br/>
              <w:t xml:space="preserve">(Зарегистрировано в Минюсте России 26.05.2021 N 63627)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мая 2021 г. N 63627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апреля 2021 г. N 192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20.02.05 ОРГАНИЗАЦИЯ ОПЕРАТИВНОГО (ЭКСТРЕННОГО)</w:t>
      </w:r>
    </w:p>
    <w:p>
      <w:pPr>
        <w:pStyle w:val="2"/>
        <w:jc w:val="center"/>
      </w:pPr>
      <w:r>
        <w:rPr>
          <w:sz w:val="20"/>
        </w:rPr>
        <w:t xml:space="preserve">РЕАГИРОВАНИЯ В ЧРЕЗВЫЧАЙНЫХ СИТУАЦИЯХ</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2"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20.02.05 Организация оперативного (экстренного) реагирования в чрезвычайных ситуациях.</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21 апреля 2021 г. N 192</w:t>
      </w:r>
    </w:p>
    <w:p>
      <w:pPr>
        <w:pStyle w:val="0"/>
        <w:jc w:val="both"/>
      </w:pPr>
      <w:r>
        <w:rPr>
          <w:sz w:val="20"/>
        </w:rPr>
      </w:r>
    </w:p>
    <w:bookmarkStart w:id="32" w:name="P32"/>
    <w:bookmarkEnd w:id="32"/>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20.02.05 ОРГАНИЗАЦИЯ ОПЕРАТИВНОГО (ЭКСТРЕННОГО)</w:t>
      </w:r>
    </w:p>
    <w:p>
      <w:pPr>
        <w:pStyle w:val="2"/>
        <w:jc w:val="center"/>
      </w:pPr>
      <w:r>
        <w:rPr>
          <w:sz w:val="20"/>
        </w:rPr>
        <w:t xml:space="preserve">РЕАГИРОВАНИЯ В ЧРЕЗВЫЧАЙНЫХ СИТУАЦИЯХ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20.02.05 Организация оперативного (экстренного) реагирования в чрезвычайных ситуациях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3" w:name="P43"/>
    <w:bookmarkEnd w:id="43"/>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"специалист по приему и обработке экстренных вызовов", указанной в </w:t>
      </w:r>
      <w:hyperlink w:history="0" r:id="rId9"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12" w:tooltip="ПЕРЕЧЕНЬ">
        <w:r>
          <w:rPr>
            <w:sz w:val="20"/>
            <w:color w:val="0000ff"/>
          </w:rPr>
          <w:t xml:space="preserve">приложение N 1</w:t>
        </w:r>
      </w:hyperlink>
      <w:r>
        <w:rPr>
          <w:sz w:val="20"/>
        </w:rPr>
        <w:t xml:space="preserve"> к ФГОС СПО).</w:t>
      </w:r>
    </w:p>
    <w:bookmarkStart w:id="45" w:name="P45"/>
    <w:bookmarkEnd w:id="45"/>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3" w:tooltip="1.5. Образовательная организация разрабатывает образовательную программу в соответствии с квалификацией специалиста среднего звена &quot;специалист по приему и обработке экстренных вызовов&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3" w:tooltip="1.5. Образовательная организация разрабатывает образовательную программу в соответствии с квалификацией специалиста среднего звена &quot;специалист по приему и обработке экстренных вызовов&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01"/>
        <w:gridCol w:w="2891"/>
      </w:tblGrid>
      <w:tr>
        <w:tc>
          <w:tcPr>
            <w:tcW w:w="6101" w:type="dxa"/>
          </w:tcPr>
          <w:p>
            <w:pPr>
              <w:pStyle w:val="0"/>
              <w:jc w:val="center"/>
            </w:pPr>
            <w:r>
              <w:rPr>
                <w:sz w:val="20"/>
              </w:rPr>
              <w:t xml:space="preserve">Структура образовательной программы</w:t>
            </w:r>
          </w:p>
        </w:tc>
        <w:tc>
          <w:tcPr>
            <w:tcW w:w="2891" w:type="dxa"/>
          </w:tcPr>
          <w:p>
            <w:pPr>
              <w:pStyle w:val="0"/>
              <w:jc w:val="center"/>
            </w:pPr>
            <w:r>
              <w:rPr>
                <w:sz w:val="20"/>
              </w:rPr>
              <w:t xml:space="preserve">Объем образовательной программы в академических часах</w:t>
            </w:r>
          </w:p>
        </w:tc>
      </w:tr>
      <w:tr>
        <w:tc>
          <w:tcPr>
            <w:tcW w:w="6101" w:type="dxa"/>
          </w:tcPr>
          <w:p>
            <w:pPr>
              <w:pStyle w:val="0"/>
            </w:pPr>
            <w:r>
              <w:rPr>
                <w:sz w:val="20"/>
              </w:rPr>
              <w:t xml:space="preserve">Общий гуманитарный и социально-экономический цикл</w:t>
            </w:r>
          </w:p>
        </w:tc>
        <w:tc>
          <w:tcPr>
            <w:tcW w:w="2891" w:type="dxa"/>
          </w:tcPr>
          <w:p>
            <w:pPr>
              <w:pStyle w:val="0"/>
              <w:jc w:val="center"/>
            </w:pPr>
            <w:r>
              <w:rPr>
                <w:sz w:val="20"/>
              </w:rPr>
              <w:t xml:space="preserve">не менее 468</w:t>
            </w:r>
          </w:p>
        </w:tc>
      </w:tr>
      <w:tr>
        <w:tc>
          <w:tcPr>
            <w:tcW w:w="6101" w:type="dxa"/>
          </w:tcPr>
          <w:p>
            <w:pPr>
              <w:pStyle w:val="0"/>
            </w:pPr>
            <w:r>
              <w:rPr>
                <w:sz w:val="20"/>
              </w:rPr>
              <w:t xml:space="preserve">Математический и общий естественнонаучный цикл</w:t>
            </w:r>
          </w:p>
        </w:tc>
        <w:tc>
          <w:tcPr>
            <w:tcW w:w="2891" w:type="dxa"/>
          </w:tcPr>
          <w:p>
            <w:pPr>
              <w:pStyle w:val="0"/>
              <w:jc w:val="center"/>
            </w:pPr>
            <w:r>
              <w:rPr>
                <w:sz w:val="20"/>
              </w:rPr>
              <w:t xml:space="preserve">не менее 144</w:t>
            </w:r>
          </w:p>
        </w:tc>
      </w:tr>
      <w:tr>
        <w:tc>
          <w:tcPr>
            <w:tcW w:w="6101" w:type="dxa"/>
          </w:tcPr>
          <w:p>
            <w:pPr>
              <w:pStyle w:val="0"/>
            </w:pPr>
            <w:r>
              <w:rPr>
                <w:sz w:val="20"/>
              </w:rPr>
              <w:t xml:space="preserve">Общепрофессиональный цикл</w:t>
            </w:r>
          </w:p>
        </w:tc>
        <w:tc>
          <w:tcPr>
            <w:tcW w:w="2891" w:type="dxa"/>
          </w:tcPr>
          <w:p>
            <w:pPr>
              <w:pStyle w:val="0"/>
              <w:jc w:val="center"/>
            </w:pPr>
            <w:r>
              <w:rPr>
                <w:sz w:val="20"/>
              </w:rPr>
              <w:t xml:space="preserve">не менее 612</w:t>
            </w:r>
          </w:p>
        </w:tc>
      </w:tr>
      <w:tr>
        <w:tc>
          <w:tcPr>
            <w:tcW w:w="6101" w:type="dxa"/>
          </w:tcPr>
          <w:p>
            <w:pPr>
              <w:pStyle w:val="0"/>
            </w:pPr>
            <w:r>
              <w:rPr>
                <w:sz w:val="20"/>
              </w:rPr>
              <w:t xml:space="preserve">Профессиональный цикл</w:t>
            </w:r>
          </w:p>
        </w:tc>
        <w:tc>
          <w:tcPr>
            <w:tcW w:w="2891" w:type="dxa"/>
          </w:tcPr>
          <w:p>
            <w:pPr>
              <w:pStyle w:val="0"/>
              <w:jc w:val="center"/>
            </w:pPr>
            <w:r>
              <w:rPr>
                <w:sz w:val="20"/>
              </w:rPr>
              <w:t xml:space="preserve">не менее 1728</w:t>
            </w:r>
          </w:p>
        </w:tc>
      </w:tr>
      <w:tr>
        <w:tc>
          <w:tcPr>
            <w:tcW w:w="6101" w:type="dxa"/>
          </w:tcPr>
          <w:p>
            <w:pPr>
              <w:pStyle w:val="0"/>
            </w:pPr>
            <w:r>
              <w:rPr>
                <w:sz w:val="20"/>
              </w:rPr>
              <w:t xml:space="preserve">Государственная итоговая аттестация</w:t>
            </w:r>
          </w:p>
        </w:tc>
        <w:tc>
          <w:tcPr>
            <w:tcW w:w="2891" w:type="dxa"/>
          </w:tcPr>
          <w:p>
            <w:pPr>
              <w:pStyle w:val="0"/>
              <w:jc w:val="center"/>
            </w:pPr>
            <w:r>
              <w:rPr>
                <w:sz w:val="20"/>
              </w:rPr>
              <w:t xml:space="preserve">216</w:t>
            </w:r>
          </w:p>
        </w:tc>
      </w:tr>
      <w:tr>
        <w:tc>
          <w:tcPr>
            <w:gridSpan w:val="2"/>
            <w:tcW w:w="8992" w:type="dxa"/>
          </w:tcPr>
          <w:p>
            <w:pPr>
              <w:pStyle w:val="0"/>
              <w:outlineLvl w:val="3"/>
              <w:jc w:val="center"/>
            </w:pPr>
            <w:r>
              <w:rPr>
                <w:sz w:val="20"/>
              </w:rPr>
              <w:t xml:space="preserve">Общий объем образовательной программы:</w:t>
            </w:r>
          </w:p>
        </w:tc>
      </w:tr>
      <w:tr>
        <w:tc>
          <w:tcPr>
            <w:tcW w:w="6101" w:type="dxa"/>
          </w:tcPr>
          <w:p>
            <w:pPr>
              <w:pStyle w:val="0"/>
            </w:pPr>
            <w:r>
              <w:rPr>
                <w:sz w:val="20"/>
              </w:rPr>
              <w:t xml:space="preserve">на базе среднего общего образования</w:t>
            </w:r>
          </w:p>
        </w:tc>
        <w:tc>
          <w:tcPr>
            <w:tcW w:w="2891" w:type="dxa"/>
          </w:tcPr>
          <w:p>
            <w:pPr>
              <w:pStyle w:val="0"/>
              <w:jc w:val="center"/>
            </w:pPr>
            <w:r>
              <w:rPr>
                <w:sz w:val="20"/>
              </w:rPr>
              <w:t xml:space="preserve">4464</w:t>
            </w:r>
          </w:p>
        </w:tc>
      </w:tr>
      <w:tr>
        <w:tc>
          <w:tcPr>
            <w:tcW w:w="6101"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9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5" w:name="P135"/>
    <w:bookmarkEnd w:id="135"/>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прием экстренных вызовов (сообщений о происшествиях);</w:t>
      </w:r>
    </w:p>
    <w:p>
      <w:pPr>
        <w:pStyle w:val="0"/>
        <w:spacing w:before="200" w:line-rule="auto"/>
        <w:ind w:firstLine="540"/>
        <w:jc w:val="both"/>
      </w:pPr>
      <w:r>
        <w:rPr>
          <w:sz w:val="20"/>
        </w:rPr>
        <w:t xml:space="preserve">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p>
      <w:pPr>
        <w:pStyle w:val="0"/>
        <w:spacing w:before="200" w:line-rule="auto"/>
        <w:ind w:firstLine="540"/>
        <w:jc w:val="both"/>
      </w:pPr>
      <w:r>
        <w:rPr>
          <w:sz w:val="20"/>
        </w:rPr>
        <w:t xml:space="preserve">оказание справочно-консультативной помощи заявителям.</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5"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Прием экстренных вызовов (сообщений о происшествиях):</w:t>
      </w:r>
    </w:p>
    <w:p>
      <w:pPr>
        <w:pStyle w:val="0"/>
        <w:spacing w:before="200" w:line-rule="auto"/>
        <w:ind w:firstLine="540"/>
        <w:jc w:val="both"/>
      </w:pPr>
      <w:r>
        <w:rPr>
          <w:sz w:val="20"/>
        </w:rPr>
        <w:t xml:space="preserve">ПК 1.1. Определять характер обращения заявителя, явных и потенциальных угроз для жизни, здоровья и имущества заявителя и иных лиц, а также угрозы нарушения правопорядка;</w:t>
      </w:r>
    </w:p>
    <w:p>
      <w:pPr>
        <w:pStyle w:val="0"/>
        <w:spacing w:before="200" w:line-rule="auto"/>
        <w:ind w:firstLine="540"/>
        <w:jc w:val="both"/>
      </w:pPr>
      <w:r>
        <w:rPr>
          <w:sz w:val="20"/>
        </w:rPr>
        <w:t xml:space="preserve">ПК 1.2. Использовать аппаратно-программные средства либо резервные информационные ресурсы для определения (уточнения) адреса (места) происшествия, регистрации полученных данных, направления вызова в систему информационного обслуживания населения (при наличии);</w:t>
      </w:r>
    </w:p>
    <w:p>
      <w:pPr>
        <w:pStyle w:val="0"/>
        <w:spacing w:before="200" w:line-rule="auto"/>
        <w:ind w:firstLine="540"/>
        <w:jc w:val="both"/>
      </w:pPr>
      <w:r>
        <w:rPr>
          <w:sz w:val="20"/>
        </w:rPr>
        <w:t xml:space="preserve">ПК 1.3. Определять необходимость привлечения к реагированию на происшествие экстренных оперативных служб (далее - ЭОС), аварийно-восстановительных служб (далее - АВС), служб жизнеобеспечения населения, единых дежурно-диспетчерских служб (далее - ЕДДС) и/или служб, которые не входят в перечень служб, взаимодействующих в системе обеспечения оповещения экстренных служб, но которые могут быть привлечены к реагированию на происшествие и оказанию помощи гражданам (другие службы);</w:t>
      </w:r>
    </w:p>
    <w:p>
      <w:pPr>
        <w:pStyle w:val="0"/>
        <w:spacing w:before="200" w:line-rule="auto"/>
        <w:ind w:firstLine="540"/>
        <w:jc w:val="both"/>
      </w:pPr>
      <w:r>
        <w:rPr>
          <w:sz w:val="20"/>
        </w:rPr>
        <w:t xml:space="preserve">ПК 1.4. Определять необходимость оказания справочно-консультативной помощи заявителю для самостоятельного решения им возникших проблем безопасности и нарушения условий жизнедеятельности или привлечения к оказанию справочно-консультативной помощи специалистов ЭОС, АВС, ЕДДС или других служб;</w:t>
      </w:r>
    </w:p>
    <w:p>
      <w:pPr>
        <w:pStyle w:val="0"/>
        <w:spacing w:before="200" w:line-rule="auto"/>
        <w:ind w:firstLine="540"/>
        <w:jc w:val="both"/>
      </w:pPr>
      <w:r>
        <w:rPr>
          <w:sz w:val="20"/>
        </w:rPr>
        <w:t xml:space="preserve">ПК 1.5. Определять необходимость присвоения происшествию признака чрезвычайной ситуации (ЧС) и автоматизированной передачи данных о нем в центр управления кризисными ситуациями субъекта Российской Федерации (далее - ЦУКС), ЕДДС, ЭОС и АВС в соответствии с соглашениями и регламентами информационного взаимодействия структур.</w:t>
      </w:r>
    </w:p>
    <w:p>
      <w:pPr>
        <w:pStyle w:val="0"/>
        <w:spacing w:before="200" w:line-rule="auto"/>
        <w:ind w:firstLine="540"/>
        <w:jc w:val="both"/>
      </w:pPr>
      <w:r>
        <w:rPr>
          <w:sz w:val="20"/>
        </w:rPr>
        <w:t xml:space="preserve">3.4.2. 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p>
      <w:pPr>
        <w:pStyle w:val="0"/>
        <w:spacing w:before="200" w:line-rule="auto"/>
        <w:ind w:firstLine="540"/>
        <w:jc w:val="both"/>
      </w:pPr>
      <w:r>
        <w:rPr>
          <w:sz w:val="20"/>
        </w:rPr>
        <w:t xml:space="preserve">ПК 2.1. Определять перечень ЭОС, АВС, ЕДДС и/или других служб (при необходимости), подлежащих оповещению в связи с происшествием;</w:t>
      </w:r>
    </w:p>
    <w:p>
      <w:pPr>
        <w:pStyle w:val="0"/>
        <w:spacing w:before="200" w:line-rule="auto"/>
        <w:ind w:firstLine="540"/>
        <w:jc w:val="both"/>
      </w:pPr>
      <w:r>
        <w:rPr>
          <w:sz w:val="20"/>
        </w:rPr>
        <w:t xml:space="preserve">ПК 2.2. Использовать аппаратно-программные средства для передачи сообщения в ЭОС, АВС, ЕДДС и/или в другие службы (при необходимости) в соответствии с их территориальной и функциональной принадлежностью и информирования ЭОС, АВС, ЕДДС и/или других служб (при необходимости) о поступлении новых и уточняющих данных о происшествии, регистрации факта передачи сообщения;</w:t>
      </w:r>
    </w:p>
    <w:p>
      <w:pPr>
        <w:pStyle w:val="0"/>
        <w:spacing w:before="200" w:line-rule="auto"/>
        <w:ind w:firstLine="540"/>
        <w:jc w:val="both"/>
      </w:pPr>
      <w:r>
        <w:rPr>
          <w:sz w:val="20"/>
        </w:rPr>
        <w:t xml:space="preserve">ПК 2.3. Координировать действия специалистов ЭОС, АВС, ЕДДС и/или других служб (при необходимости), привлеченных к реагированию на происшествие;</w:t>
      </w:r>
    </w:p>
    <w:p>
      <w:pPr>
        <w:pStyle w:val="0"/>
        <w:spacing w:before="200" w:line-rule="auto"/>
        <w:ind w:firstLine="540"/>
        <w:jc w:val="both"/>
      </w:pPr>
      <w:r>
        <w:rPr>
          <w:sz w:val="20"/>
        </w:rPr>
        <w:t xml:space="preserve">ПК 2.4. Выполнять автоматизированную передачу данных о происшествии с признаком ЧС в ЦУКС, ЕДДС, ЭОС и АВС в соответствии с соглашениями и регламентами информационного взаимодействия структур.</w:t>
      </w:r>
    </w:p>
    <w:p>
      <w:pPr>
        <w:pStyle w:val="0"/>
        <w:spacing w:before="200" w:line-rule="auto"/>
        <w:ind w:firstLine="540"/>
        <w:jc w:val="both"/>
      </w:pPr>
      <w:r>
        <w:rPr>
          <w:sz w:val="20"/>
        </w:rPr>
        <w:t xml:space="preserve">3.4.3. Оказание справочно-консультативной помощи заявителям:</w:t>
      </w:r>
    </w:p>
    <w:p>
      <w:pPr>
        <w:pStyle w:val="0"/>
        <w:spacing w:before="200" w:line-rule="auto"/>
        <w:ind w:firstLine="540"/>
        <w:jc w:val="both"/>
      </w:pPr>
      <w:r>
        <w:rPr>
          <w:sz w:val="20"/>
        </w:rPr>
        <w:t xml:space="preserve">ПК 3.1. Определять по результатам опроса заявителя перечень справочной информации и/или рекомендаций по правилам поведения на месте происшествия, необходимых для самостоятельного предотвращения (преодоления) угроз жизни, здоровью, имуществу граждан, а также правопорядку;</w:t>
      </w:r>
    </w:p>
    <w:p>
      <w:pPr>
        <w:pStyle w:val="0"/>
        <w:spacing w:before="200" w:line-rule="auto"/>
        <w:ind w:firstLine="540"/>
        <w:jc w:val="both"/>
      </w:pPr>
      <w:r>
        <w:rPr>
          <w:sz w:val="20"/>
        </w:rPr>
        <w:t xml:space="preserve">ПК 3.2. Осуществлять поиск необходимой справочной информации и/или методических материалов по рекомендациям с помощью аппаратно-программных средств либо резервных информационных ресурсов;</w:t>
      </w:r>
    </w:p>
    <w:p>
      <w:pPr>
        <w:pStyle w:val="0"/>
        <w:spacing w:before="200" w:line-rule="auto"/>
        <w:ind w:firstLine="540"/>
        <w:jc w:val="both"/>
      </w:pPr>
      <w:r>
        <w:rPr>
          <w:sz w:val="20"/>
        </w:rPr>
        <w:t xml:space="preserve">ПК 3.3. Осуществлять взаимодействие с заявителем с целью передачи необходимой справочной информации и/или рекомендаций для предотвращения (преодоления) угроз жизни, здоровью, имуществу граждан, а также правопорядку, и информирования о рисках, связанных с невыполнением переданных рекомендаций;</w:t>
      </w:r>
    </w:p>
    <w:p>
      <w:pPr>
        <w:pStyle w:val="0"/>
        <w:spacing w:before="200" w:line-rule="auto"/>
        <w:ind w:firstLine="540"/>
        <w:jc w:val="both"/>
      </w:pPr>
      <w:r>
        <w:rPr>
          <w:sz w:val="20"/>
        </w:rPr>
        <w:t xml:space="preserve">ПК 3.4. Определять по результатам опроса заявителя перечень ЭОС, АВС, ЕДДС и других служб, специалисты которых могут быть привлечены для предоставления заявителю специальной справочной информации и/или специальных рекомендаций (при необходимости);</w:t>
      </w:r>
    </w:p>
    <w:p>
      <w:pPr>
        <w:pStyle w:val="0"/>
        <w:spacing w:before="200" w:line-rule="auto"/>
        <w:ind w:firstLine="540"/>
        <w:jc w:val="both"/>
      </w:pPr>
      <w:r>
        <w:rPr>
          <w:sz w:val="20"/>
        </w:rPr>
        <w:t xml:space="preserve">ПК 3.5. Осуществлять с помощью аппаратно-программных средств коммуникации заявителя со специалистами ЭОС, АВС, ЕДДС и других служб для передачи специальной справочной информации и/или специальных рекомендаций по правилам поведения на месте происшествия (при необходимости);</w:t>
      </w:r>
    </w:p>
    <w:p>
      <w:pPr>
        <w:pStyle w:val="0"/>
        <w:spacing w:before="200" w:line-rule="auto"/>
        <w:ind w:firstLine="540"/>
        <w:jc w:val="both"/>
      </w:pPr>
      <w:r>
        <w:rPr>
          <w:sz w:val="20"/>
        </w:rPr>
        <w:t xml:space="preserve">ПК 3.6. Координировать действия заявителя и специалистов других служб в процессе предоставления заявителю рекомендаций по правилам поведения на месте происшествия до прибытия сил реагирования ЭОС, АВС и/или других служб (при необходимости).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9"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2 Обеспечение безопасности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20.02.05</w:t>
      </w:r>
    </w:p>
    <w:p>
      <w:pPr>
        <w:pStyle w:val="0"/>
        <w:jc w:val="right"/>
      </w:pPr>
      <w:r>
        <w:rPr>
          <w:sz w:val="20"/>
        </w:rPr>
        <w:t xml:space="preserve">Организация оперативного (экстренного)</w:t>
      </w:r>
    </w:p>
    <w:p>
      <w:pPr>
        <w:pStyle w:val="0"/>
        <w:jc w:val="right"/>
      </w:pPr>
      <w:r>
        <w:rPr>
          <w:sz w:val="20"/>
        </w:rPr>
        <w:t xml:space="preserve">реагирования в чрезвычайных ситуациях,</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21 апреля 2021 г. N 192</w:t>
      </w:r>
    </w:p>
    <w:p>
      <w:pPr>
        <w:pStyle w:val="0"/>
        <w:jc w:val="both"/>
      </w:pPr>
      <w:r>
        <w:rPr>
          <w:sz w:val="20"/>
        </w:rPr>
      </w:r>
    </w:p>
    <w:bookmarkStart w:id="212" w:name="P212"/>
    <w:bookmarkEnd w:id="212"/>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20.02.05 ОРГАНИЗАЦИЯ ОПЕРАТИВНОГО</w:t>
      </w:r>
    </w:p>
    <w:p>
      <w:pPr>
        <w:pStyle w:val="2"/>
        <w:jc w:val="center"/>
      </w:pPr>
      <w:r>
        <w:rPr>
          <w:sz w:val="20"/>
        </w:rPr>
        <w:t xml:space="preserve">(ЭКСТРЕННОГО) РЕАГИРОВАНИЯ В ЧРЕЗВЫЧАЙНЫХ СИТУАЦИЯХ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6998"/>
      </w:tblGrid>
      <w:tr>
        <w:tc>
          <w:tcPr>
            <w:tcW w:w="1984" w:type="dxa"/>
          </w:tcPr>
          <w:p>
            <w:pPr>
              <w:pStyle w:val="0"/>
              <w:jc w:val="center"/>
            </w:pPr>
            <w:r>
              <w:rPr>
                <w:sz w:val="20"/>
              </w:rPr>
              <w:t xml:space="preserve">Код профессионального стандарта</w:t>
            </w:r>
          </w:p>
        </w:tc>
        <w:tc>
          <w:tcPr>
            <w:tcW w:w="6998" w:type="dxa"/>
          </w:tcPr>
          <w:p>
            <w:pPr>
              <w:pStyle w:val="0"/>
              <w:jc w:val="center"/>
            </w:pPr>
            <w:r>
              <w:rPr>
                <w:sz w:val="20"/>
              </w:rPr>
              <w:t xml:space="preserve">Наименование профессионального стандарта</w:t>
            </w:r>
          </w:p>
        </w:tc>
      </w:tr>
      <w:tr>
        <w:tc>
          <w:tcPr>
            <w:tcW w:w="1984" w:type="dxa"/>
          </w:tcPr>
          <w:p>
            <w:pPr>
              <w:pStyle w:val="0"/>
              <w:jc w:val="center"/>
            </w:pPr>
            <w:r>
              <w:rPr>
                <w:sz w:val="20"/>
              </w:rPr>
              <w:t xml:space="preserve">12.002</w:t>
            </w:r>
          </w:p>
        </w:tc>
        <w:tc>
          <w:tcPr>
            <w:tcW w:w="6998" w:type="dxa"/>
          </w:tcPr>
          <w:p>
            <w:pPr>
              <w:pStyle w:val="0"/>
              <w:jc w:val="both"/>
            </w:pPr>
            <w:r>
              <w:rPr>
                <w:sz w:val="20"/>
              </w:rPr>
              <w:t xml:space="preserve">Профессиональный </w:t>
            </w:r>
            <w:hyperlink w:history="0" r:id="rId12" w:tooltip="Приказ Минтруда России от 09.09.2015 N 618н &quot;Об утверждении профессионального стандарта &quot;Специалист по приему и обработке экстренных вызовов&quot; (Зарегистрировано в Минюсте России 01.10.2015 N 39086) ------------ Утратил силу или отменен {КонсультантПлюс}">
              <w:r>
                <w:rPr>
                  <w:sz w:val="20"/>
                  <w:color w:val="0000ff"/>
                </w:rPr>
                <w:t xml:space="preserve">стандарт</w:t>
              </w:r>
            </w:hyperlink>
            <w:r>
              <w:rPr>
                <w:sz w:val="20"/>
              </w:rPr>
              <w:t xml:space="preserve"> "Специалист по приему и обработке экстренных вызовов", утвержденный приказом Министерства труда и социальной защиты Российской Федерации от 9 сентября 2015 г. N 618н (зарегистрирован Министерством юстиции Российской Федерации 1 октября 2015 г., регистрационный N 39086)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20.02.05</w:t>
      </w:r>
    </w:p>
    <w:p>
      <w:pPr>
        <w:pStyle w:val="0"/>
        <w:jc w:val="right"/>
      </w:pPr>
      <w:r>
        <w:rPr>
          <w:sz w:val="20"/>
        </w:rPr>
        <w:t xml:space="preserve">Организация оперативного (экстренного)</w:t>
      </w:r>
    </w:p>
    <w:p>
      <w:pPr>
        <w:pStyle w:val="0"/>
        <w:jc w:val="right"/>
      </w:pPr>
      <w:r>
        <w:rPr>
          <w:sz w:val="20"/>
        </w:rPr>
        <w:t xml:space="preserve">реагирования в чрезвычайных ситуациях,</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21 апреля 2021 г. N 192</w:t>
      </w:r>
    </w:p>
    <w:p>
      <w:pPr>
        <w:pStyle w:val="0"/>
        <w:jc w:val="both"/>
      </w:pPr>
      <w:r>
        <w:rPr>
          <w:sz w:val="20"/>
        </w:rPr>
      </w:r>
    </w:p>
    <w:bookmarkStart w:id="239" w:name="P239"/>
    <w:bookmarkEnd w:id="23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20.02.05 ОРГАНИЗАЦИЯ</w:t>
      </w:r>
    </w:p>
    <w:p>
      <w:pPr>
        <w:pStyle w:val="2"/>
        <w:jc w:val="center"/>
      </w:pPr>
      <w:r>
        <w:rPr>
          <w:sz w:val="20"/>
        </w:rPr>
        <w:t xml:space="preserve">ОПЕРАТИВНОГО (ЭКСТРЕННОГО) РЕАГИРОВАНИЯ</w:t>
      </w:r>
    </w:p>
    <w:p>
      <w:pPr>
        <w:pStyle w:val="2"/>
        <w:jc w:val="center"/>
      </w:pPr>
      <w:r>
        <w:rPr>
          <w:sz w:val="20"/>
        </w:rPr>
        <w:t xml:space="preserve">В ЧРЕЗВЫЧАЙНЫХ СИТУАЦИЯХ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690"/>
      </w:tblGrid>
      <w:tr>
        <w:tc>
          <w:tcPr>
            <w:tcW w:w="2324" w:type="dxa"/>
          </w:tcPr>
          <w:p>
            <w:pPr>
              <w:pStyle w:val="0"/>
              <w:jc w:val="center"/>
            </w:pPr>
            <w:r>
              <w:rPr>
                <w:sz w:val="20"/>
              </w:rPr>
              <w:t xml:space="preserve">Основной вид деятельности</w:t>
            </w:r>
          </w:p>
        </w:tc>
        <w:tc>
          <w:tcPr>
            <w:tcW w:w="6690"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324" w:type="dxa"/>
            <w:tcBorders>
              <w:bottom w:val="nil"/>
            </w:tcBorders>
          </w:tcPr>
          <w:p>
            <w:pPr>
              <w:pStyle w:val="0"/>
            </w:pPr>
            <w:r>
              <w:rPr>
                <w:sz w:val="20"/>
              </w:rPr>
              <w:t xml:space="preserve">Прием экстренных вызовов (сообщений о происшествиях)</w:t>
            </w:r>
          </w:p>
        </w:tc>
        <w:tc>
          <w:tcPr>
            <w:tcW w:w="6690" w:type="dxa"/>
            <w:tcBorders>
              <w:bottom w:val="nil"/>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и методические документы, регламентирующие прием и обработку экстренных вызовов в центре приема и обработки экстренных вызовов (далее - ЦОВ);</w:t>
            </w:r>
          </w:p>
          <w:p>
            <w:pPr>
              <w:pStyle w:val="0"/>
              <w:ind w:firstLine="283"/>
              <w:jc w:val="both"/>
            </w:pPr>
            <w:r>
              <w:rPr>
                <w:sz w:val="20"/>
              </w:rPr>
              <w:t xml:space="preserve">формализованные классификаторы, применяемые в рамках приема и обработки экстренных вызовов в ЦОВ;</w:t>
            </w:r>
          </w:p>
          <w:p>
            <w:pPr>
              <w:pStyle w:val="0"/>
              <w:ind w:firstLine="283"/>
              <w:jc w:val="both"/>
            </w:pPr>
            <w:r>
              <w:rPr>
                <w:sz w:val="20"/>
              </w:rPr>
              <w:t xml:space="preserve">основные сведения о транспортной инфраструктуре в зоне обслуживания ЦОВ;</w:t>
            </w:r>
          </w:p>
          <w:p>
            <w:pPr>
              <w:pStyle w:val="0"/>
              <w:ind w:firstLine="283"/>
              <w:jc w:val="both"/>
            </w:pPr>
            <w:r>
              <w:rPr>
                <w:sz w:val="20"/>
              </w:rPr>
              <w:t xml:space="preserve">основные географические названия в зоне обслуживания ЦОВ;</w:t>
            </w:r>
          </w:p>
          <w:p>
            <w:pPr>
              <w:pStyle w:val="0"/>
              <w:ind w:firstLine="283"/>
              <w:jc w:val="both"/>
            </w:pPr>
            <w:r>
              <w:rPr>
                <w:sz w:val="20"/>
              </w:rPr>
              <w:t xml:space="preserve">административно-территориальное деление Российской Федерации, субъекта Российской Федерации и в зоне обслуживания ЦОВ;</w:t>
            </w:r>
          </w:p>
          <w:p>
            <w:pPr>
              <w:pStyle w:val="0"/>
              <w:ind w:firstLine="283"/>
              <w:jc w:val="both"/>
            </w:pPr>
            <w:r>
              <w:rPr>
                <w:sz w:val="20"/>
              </w:rPr>
              <w:t xml:space="preserve">названия и расположение основных мест массового пребывания людей, зон отдыха, водных объектов, опасных производственных объектов, расположенных в зоне обслуживания ЦОВ;</w:t>
            </w:r>
          </w:p>
          <w:p>
            <w:pPr>
              <w:pStyle w:val="0"/>
              <w:ind w:firstLine="283"/>
              <w:jc w:val="both"/>
            </w:pPr>
            <w:r>
              <w:rPr>
                <w:sz w:val="20"/>
              </w:rPr>
              <w:t xml:space="preserve">правила русской письменной и устной речи;</w:t>
            </w:r>
          </w:p>
          <w:p>
            <w:pPr>
              <w:pStyle w:val="0"/>
              <w:ind w:firstLine="283"/>
              <w:jc w:val="both"/>
            </w:pPr>
            <w:r>
              <w:rPr>
                <w:sz w:val="20"/>
              </w:rPr>
              <w:t xml:space="preserve">основы паралингвистики;</w:t>
            </w:r>
          </w:p>
          <w:p>
            <w:pPr>
              <w:pStyle w:val="0"/>
              <w:ind w:firstLine="283"/>
              <w:jc w:val="both"/>
            </w:pPr>
            <w:r>
              <w:rPr>
                <w:sz w:val="20"/>
              </w:rPr>
              <w:t xml:space="preserve">основы психологии детского возраста, психологии лиц старшего возраста и маломобильных групп граждан;</w:t>
            </w:r>
          </w:p>
          <w:p>
            <w:pPr>
              <w:pStyle w:val="0"/>
              <w:ind w:firstLine="283"/>
              <w:jc w:val="both"/>
            </w:pPr>
            <w:r>
              <w:rPr>
                <w:sz w:val="20"/>
              </w:rPr>
              <w:t xml:space="preserve">основные психологические состояния пострадавших и потерпевших; психологические особенности поведения населения при чрезвычайных ситуациях и чрезвычайных происшествиях;</w:t>
            </w:r>
          </w:p>
          <w:p>
            <w:pPr>
              <w:pStyle w:val="0"/>
              <w:ind w:firstLine="283"/>
              <w:jc w:val="both"/>
            </w:pPr>
            <w:r>
              <w:rPr>
                <w:sz w:val="20"/>
              </w:rPr>
              <w:t xml:space="preserve">основы конфликтологии;</w:t>
            </w:r>
          </w:p>
          <w:p>
            <w:pPr>
              <w:pStyle w:val="0"/>
              <w:ind w:firstLine="283"/>
              <w:jc w:val="both"/>
            </w:pPr>
            <w:r>
              <w:rPr>
                <w:sz w:val="20"/>
              </w:rPr>
              <w:t xml:space="preserve">этические нормы общения, речевой и деловой этикет;</w:t>
            </w:r>
          </w:p>
          <w:p>
            <w:pPr>
              <w:pStyle w:val="0"/>
              <w:ind w:firstLine="283"/>
              <w:jc w:val="both"/>
            </w:pPr>
            <w:r>
              <w:rPr>
                <w:sz w:val="20"/>
              </w:rPr>
              <w:t xml:space="preserve">правила электробезопасности при использовании средств телекоммуникации, применяемых для приема экстренных вызовов;</w:t>
            </w:r>
          </w:p>
        </w:tc>
      </w:tr>
      <w:tr>
        <w:tblPrEx>
          <w:tblBorders>
            <w:insideH w:val="nil"/>
          </w:tblBorders>
        </w:tblPrEx>
        <w:tc>
          <w:tcPr>
            <w:tcW w:w="2324" w:type="dxa"/>
            <w:tcBorders>
              <w:top w:val="nil"/>
            </w:tcBorders>
          </w:tcPr>
          <w:p>
            <w:pPr>
              <w:pStyle w:val="0"/>
            </w:pPr>
            <w:r>
              <w:rPr>
                <w:sz w:val="20"/>
              </w:rPr>
            </w:r>
          </w:p>
        </w:tc>
        <w:tc>
          <w:tcPr>
            <w:tcW w:w="6690" w:type="dxa"/>
            <w:tcBorders>
              <w:top w:val="nil"/>
            </w:tcBorders>
          </w:tcPr>
          <w:p>
            <w:pPr>
              <w:pStyle w:val="0"/>
              <w:ind w:firstLine="283"/>
              <w:jc w:val="both"/>
            </w:pPr>
            <w:r>
              <w:rPr>
                <w:sz w:val="20"/>
              </w:rPr>
              <w:t xml:space="preserve">уметь:</w:t>
            </w:r>
          </w:p>
          <w:p>
            <w:pPr>
              <w:pStyle w:val="0"/>
              <w:ind w:firstLine="283"/>
              <w:jc w:val="both"/>
            </w:pPr>
            <w:r>
              <w:rPr>
                <w:sz w:val="20"/>
              </w:rPr>
              <w:t xml:space="preserve">идентифицировать язык абонента, если абонент разговаривает на одном из иностранных языков, входящих в перечень языков, обслуживаемых ЦОВ;</w:t>
            </w:r>
          </w:p>
          <w:p>
            <w:pPr>
              <w:pStyle w:val="0"/>
              <w:ind w:firstLine="283"/>
              <w:jc w:val="both"/>
            </w:pPr>
            <w:r>
              <w:rPr>
                <w:sz w:val="20"/>
              </w:rPr>
              <w:t xml:space="preserve">выбирать алгоритм опроса заявителя в зависимости от типа происшествия и следовать ему;</w:t>
            </w:r>
          </w:p>
          <w:p>
            <w:pPr>
              <w:pStyle w:val="0"/>
              <w:ind w:firstLine="283"/>
              <w:jc w:val="both"/>
            </w:pPr>
            <w:r>
              <w:rPr>
                <w:sz w:val="20"/>
              </w:rPr>
              <w:t xml:space="preserve">кратко и понятно формулировать вопросы для получения информации, находить понятные заявителю формулировки, задавать наводящие вопросы;</w:t>
            </w:r>
          </w:p>
          <w:p>
            <w:pPr>
              <w:pStyle w:val="0"/>
              <w:ind w:firstLine="283"/>
              <w:jc w:val="both"/>
            </w:pPr>
            <w:r>
              <w:rPr>
                <w:sz w:val="20"/>
              </w:rPr>
              <w:t xml:space="preserve">оценивать и учитывать психологическое состояние заявителя, корректно противостоять психологическому давлению с его стороны;</w:t>
            </w:r>
          </w:p>
          <w:p>
            <w:pPr>
              <w:pStyle w:val="0"/>
              <w:ind w:firstLine="283"/>
              <w:jc w:val="both"/>
            </w:pPr>
            <w:r>
              <w:rPr>
                <w:sz w:val="20"/>
              </w:rPr>
              <w:t xml:space="preserve">использовать невербальные атрибуты речи: интонацию, темп, силу голоса;</w:t>
            </w:r>
          </w:p>
          <w:p>
            <w:pPr>
              <w:pStyle w:val="0"/>
              <w:ind w:firstLine="283"/>
              <w:jc w:val="both"/>
            </w:pPr>
            <w:r>
              <w:rPr>
                <w:sz w:val="20"/>
              </w:rPr>
              <w:t xml:space="preserve">определять адрес (место) происшествия со слов заявителя и/или с использованием систем позиционирования, электронных и печатных карт, по ориентирам и объектам;</w:t>
            </w:r>
          </w:p>
          <w:p>
            <w:pPr>
              <w:pStyle w:val="0"/>
              <w:ind w:firstLine="283"/>
              <w:jc w:val="both"/>
            </w:pPr>
            <w:r>
              <w:rPr>
                <w:sz w:val="20"/>
              </w:rPr>
              <w:t xml:space="preserve">использовать резервные информационные ресурсы, хранимые в печатном виде (при сбоях в работе аппаратно-программных средств);</w:t>
            </w:r>
          </w:p>
          <w:p>
            <w:pPr>
              <w:pStyle w:val="0"/>
              <w:ind w:firstLine="283"/>
              <w:jc w:val="both"/>
            </w:pPr>
            <w:r>
              <w:rPr>
                <w:sz w:val="20"/>
              </w:rPr>
              <w:t xml:space="preserve">пользоваться топографической картой для определения района возможного местонахождения потерявшегося человека;</w:t>
            </w:r>
          </w:p>
          <w:p>
            <w:pPr>
              <w:pStyle w:val="0"/>
              <w:ind w:firstLine="283"/>
              <w:jc w:val="both"/>
            </w:pPr>
            <w:r>
              <w:rPr>
                <w:sz w:val="20"/>
              </w:rPr>
              <w:t xml:space="preserve">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pPr>
              <w:pStyle w:val="0"/>
              <w:ind w:firstLine="283"/>
              <w:jc w:val="both"/>
            </w:pPr>
            <w:r>
              <w:rPr>
                <w:sz w:val="20"/>
              </w:rPr>
              <w:t xml:space="preserve">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pPr>
              <w:pStyle w:val="0"/>
              <w:ind w:firstLine="283"/>
              <w:jc w:val="both"/>
            </w:pPr>
            <w:r>
              <w:rPr>
                <w:sz w:val="20"/>
              </w:rPr>
              <w:t xml:space="preserve">использовать аппаратно-программные средства, применяемые для приема экстренных вызовов;</w:t>
            </w:r>
          </w:p>
          <w:p>
            <w:pPr>
              <w:pStyle w:val="0"/>
              <w:ind w:firstLine="283"/>
              <w:jc w:val="both"/>
            </w:pPr>
            <w:r>
              <w:rPr>
                <w:sz w:val="20"/>
              </w:rPr>
              <w:t xml:space="preserve">управлять вызовом с использованием функциональных возможностей телефонии;</w:t>
            </w:r>
          </w:p>
          <w:p>
            <w:pPr>
              <w:pStyle w:val="0"/>
              <w:ind w:firstLine="283"/>
              <w:jc w:val="both"/>
            </w:pPr>
            <w:r>
              <w:rPr>
                <w:sz w:val="20"/>
              </w:rPr>
              <w:t xml:space="preserve">набирать текст на клавиатуре со скоростью не менее 100 символов в минуту;</w:t>
            </w:r>
          </w:p>
          <w:p>
            <w:pPr>
              <w:pStyle w:val="0"/>
              <w:ind w:firstLine="283"/>
              <w:jc w:val="both"/>
            </w:pPr>
            <w:r>
              <w:rPr>
                <w:sz w:val="20"/>
              </w:rPr>
              <w:t xml:space="preserve">иметь практический опыт в:</w:t>
            </w:r>
          </w:p>
          <w:p>
            <w:pPr>
              <w:pStyle w:val="0"/>
              <w:ind w:firstLine="283"/>
              <w:jc w:val="both"/>
            </w:pPr>
            <w:r>
              <w:rPr>
                <w:sz w:val="20"/>
              </w:rPr>
              <w:t xml:space="preserve">приеме экстренных вызовов.</w:t>
            </w:r>
          </w:p>
        </w:tc>
      </w:tr>
      <w:tr>
        <w:tc>
          <w:tcPr>
            <w:tcW w:w="2324" w:type="dxa"/>
          </w:tcPr>
          <w:p>
            <w:pPr>
              <w:pStyle w:val="0"/>
            </w:pPr>
            <w:r>
              <w:rPr>
                <w:sz w:val="20"/>
              </w:rPr>
              <w:t xml:space="preserve">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tc>
        <w:tc>
          <w:tcPr>
            <w:tcW w:w="6690" w:type="dxa"/>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и методические документы, регламентирующие прием и обработку экстренных вызовов в ЦОВ;</w:t>
            </w:r>
          </w:p>
          <w:p>
            <w:pPr>
              <w:pStyle w:val="0"/>
              <w:ind w:firstLine="283"/>
              <w:jc w:val="both"/>
            </w:pPr>
            <w:r>
              <w:rPr>
                <w:sz w:val="20"/>
              </w:rPr>
              <w:t xml:space="preserve">основные нормативные правовые акты, регламентирующие деятельность ЭОС, АВС и ЕДДС;</w:t>
            </w:r>
          </w:p>
          <w:p>
            <w:pPr>
              <w:pStyle w:val="0"/>
              <w:ind w:firstLine="283"/>
              <w:jc w:val="both"/>
            </w:pPr>
            <w:r>
              <w:rPr>
                <w:sz w:val="20"/>
              </w:rPr>
              <w:t xml:space="preserve">перечень ЭОС, АВС и ЕДДС, их назначение, структуру, функции, территориальную ответственность;</w:t>
            </w:r>
          </w:p>
          <w:p>
            <w:pPr>
              <w:pStyle w:val="0"/>
              <w:ind w:firstLine="283"/>
              <w:jc w:val="both"/>
            </w:pPr>
            <w:r>
              <w:rPr>
                <w:sz w:val="20"/>
              </w:rPr>
              <w:t xml:space="preserve">соглашения и регламенты информационного взаимодействия структур, участвующих в обеспечении безопасности, в зоне обслуживания ЦОВ;</w:t>
            </w:r>
          </w:p>
          <w:p>
            <w:pPr>
              <w:pStyle w:val="0"/>
              <w:ind w:firstLine="283"/>
              <w:jc w:val="both"/>
            </w:pPr>
            <w:r>
              <w:rPr>
                <w:sz w:val="20"/>
              </w:rPr>
              <w:t xml:space="preserve">формализованные классификаторы, применяемые в рамках приема и обработки экстренных вызовов в ЦОВ;</w:t>
            </w:r>
          </w:p>
          <w:p>
            <w:pPr>
              <w:pStyle w:val="0"/>
              <w:ind w:firstLine="283"/>
              <w:jc w:val="both"/>
            </w:pPr>
            <w:r>
              <w:rPr>
                <w:sz w:val="20"/>
              </w:rPr>
              <w:t xml:space="preserve">перечень общественных волонтерских организаций, которые могут быть привлечены к поисково-спасательным операциям (при наличии);</w:t>
            </w:r>
          </w:p>
          <w:p>
            <w:pPr>
              <w:pStyle w:val="0"/>
              <w:ind w:firstLine="283"/>
              <w:jc w:val="both"/>
            </w:pPr>
            <w:r>
              <w:rPr>
                <w:sz w:val="20"/>
              </w:rPr>
              <w:t xml:space="preserve">правила русской письменной и устной речи;</w:t>
            </w:r>
          </w:p>
          <w:p>
            <w:pPr>
              <w:pStyle w:val="0"/>
              <w:ind w:firstLine="283"/>
              <w:jc w:val="both"/>
            </w:pPr>
            <w:r>
              <w:rPr>
                <w:sz w:val="20"/>
              </w:rPr>
              <w:t xml:space="preserve">правила электробезопасности при использовании средств телекоммуникации, применяемых для приема экстренных вызовов;</w:t>
            </w:r>
          </w:p>
          <w:p>
            <w:pPr>
              <w:pStyle w:val="0"/>
              <w:ind w:firstLine="283"/>
              <w:jc w:val="both"/>
            </w:pPr>
            <w:r>
              <w:rPr>
                <w:sz w:val="20"/>
              </w:rPr>
              <w:t xml:space="preserve">уметь:</w:t>
            </w:r>
          </w:p>
          <w:p>
            <w:pPr>
              <w:pStyle w:val="0"/>
              <w:ind w:firstLine="283"/>
              <w:jc w:val="both"/>
            </w:pPr>
            <w:r>
              <w:rPr>
                <w:sz w:val="20"/>
              </w:rPr>
              <w:t xml:space="preserve">определять с учетом типа происшествия перечень ЭОС, АВС и ЕДДС, подлежащих оповещению;</w:t>
            </w:r>
          </w:p>
          <w:p>
            <w:pPr>
              <w:pStyle w:val="0"/>
              <w:ind w:firstLine="283"/>
              <w:jc w:val="both"/>
            </w:pPr>
            <w:r>
              <w:rPr>
                <w:sz w:val="20"/>
              </w:rPr>
              <w:t xml:space="preserve">определять административно-территориальную принадлежность адреса (места) происшествия для оповещения ЭОС, АВС и ЕДДС;</w:t>
            </w:r>
          </w:p>
          <w:p>
            <w:pPr>
              <w:pStyle w:val="0"/>
              <w:ind w:firstLine="283"/>
              <w:jc w:val="both"/>
            </w:pPr>
            <w:r>
              <w:rPr>
                <w:sz w:val="20"/>
              </w:rPr>
              <w:t xml:space="preserve">формулировать сообщение о происшествии для оповещения ЭОС, АВС и ЕДДС;</w:t>
            </w:r>
          </w:p>
          <w:p>
            <w:pPr>
              <w:pStyle w:val="0"/>
              <w:ind w:firstLine="283"/>
              <w:jc w:val="both"/>
            </w:pPr>
            <w:r>
              <w:rPr>
                <w:sz w:val="20"/>
              </w:rPr>
              <w:t xml:space="preserve">использовать аппаратно-программные средства для оповещения ЭОС, АВС, ЕДДС и других служб о происшествии;</w:t>
            </w:r>
          </w:p>
          <w:p>
            <w:pPr>
              <w:pStyle w:val="0"/>
              <w:ind w:firstLine="283"/>
              <w:jc w:val="both"/>
            </w:pPr>
            <w:r>
              <w:rPr>
                <w:sz w:val="20"/>
              </w:rPr>
              <w:t xml:space="preserve">использовать средства телекоммуникации для оповещения ЭОС, АВС и ЕДДС о происшествии (в случае сбоя работы аппаратно-программных средств);</w:t>
            </w:r>
          </w:p>
          <w:p>
            <w:pPr>
              <w:pStyle w:val="0"/>
              <w:ind w:firstLine="283"/>
              <w:jc w:val="both"/>
            </w:pPr>
            <w:r>
              <w:rPr>
                <w:sz w:val="20"/>
              </w:rPr>
              <w:t xml:space="preserve">управлять вызовом с использованием функциональных возможностей телефонии;</w:t>
            </w:r>
          </w:p>
          <w:p>
            <w:pPr>
              <w:pStyle w:val="0"/>
              <w:ind w:firstLine="283"/>
              <w:jc w:val="both"/>
            </w:pPr>
            <w:r>
              <w:rPr>
                <w:sz w:val="20"/>
              </w:rPr>
              <w:t xml:space="preserve">находить контактные данные дежурно-диспетчерских служб ЭОС и АВС, ЕДДС (при сбое аппаратно-программных средств);</w:t>
            </w:r>
          </w:p>
          <w:p>
            <w:pPr>
              <w:pStyle w:val="0"/>
              <w:ind w:firstLine="283"/>
              <w:jc w:val="both"/>
            </w:pPr>
            <w:r>
              <w:rPr>
                <w:sz w:val="20"/>
              </w:rPr>
              <w:t xml:space="preserve">использовать контактные данные общественных волонтерских организаций, которые могут быть привлечены к поисково-спасательным операциям (при наличии);</w:t>
            </w:r>
          </w:p>
          <w:p>
            <w:pPr>
              <w:pStyle w:val="0"/>
              <w:ind w:firstLine="283"/>
              <w:jc w:val="both"/>
            </w:pPr>
            <w:r>
              <w:rPr>
                <w:sz w:val="20"/>
              </w:rPr>
              <w:t xml:space="preserve">управлять речевым взаимодействием, в том числе в ситуациях, когда участниками коммуникации являются несколько человек;</w:t>
            </w:r>
          </w:p>
          <w:p>
            <w:pPr>
              <w:pStyle w:val="0"/>
              <w:ind w:firstLine="283"/>
              <w:jc w:val="both"/>
            </w:pPr>
            <w:r>
              <w:rPr>
                <w:sz w:val="20"/>
              </w:rPr>
              <w:t xml:space="preserve">набирать текст на клавиатуре со скоростью не менее 100 символов в минуту;</w:t>
            </w:r>
          </w:p>
          <w:p>
            <w:pPr>
              <w:pStyle w:val="0"/>
              <w:ind w:firstLine="283"/>
              <w:jc w:val="both"/>
            </w:pPr>
            <w:r>
              <w:rPr>
                <w:sz w:val="20"/>
              </w:rPr>
              <w:t xml:space="preserve">иметь практический опыт в:</w:t>
            </w:r>
          </w:p>
          <w:p>
            <w:pPr>
              <w:pStyle w:val="0"/>
              <w:ind w:firstLine="283"/>
              <w:jc w:val="both"/>
            </w:pPr>
            <w:r>
              <w:rPr>
                <w:sz w:val="20"/>
              </w:rPr>
              <w:t xml:space="preserve">оповещении ЭОС, АВС и ЕДДС о происшествии.</w:t>
            </w:r>
          </w:p>
        </w:tc>
      </w:tr>
      <w:tr>
        <w:tblPrEx>
          <w:tblBorders>
            <w:insideH w:val="nil"/>
          </w:tblBorders>
        </w:tblPrEx>
        <w:tc>
          <w:tcPr>
            <w:tcW w:w="2324" w:type="dxa"/>
            <w:tcBorders>
              <w:bottom w:val="nil"/>
            </w:tcBorders>
          </w:tcPr>
          <w:p>
            <w:pPr>
              <w:pStyle w:val="0"/>
            </w:pPr>
            <w:r>
              <w:rPr>
                <w:sz w:val="20"/>
              </w:rPr>
              <w:t xml:space="preserve">Оказание справочно-консультативной помощи заявителям</w:t>
            </w:r>
          </w:p>
        </w:tc>
        <w:tc>
          <w:tcPr>
            <w:tcW w:w="6690" w:type="dxa"/>
            <w:tcBorders>
              <w:bottom w:val="nil"/>
            </w:tcBorders>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и методические документы, регламентирующие прием и обработку экстренных вызовов в ЦОВ;</w:t>
            </w:r>
          </w:p>
          <w:p>
            <w:pPr>
              <w:pStyle w:val="0"/>
              <w:ind w:firstLine="283"/>
              <w:jc w:val="both"/>
            </w:pPr>
            <w:r>
              <w:rPr>
                <w:sz w:val="20"/>
              </w:rPr>
              <w:t xml:space="preserve">структуру и порядок использования применяемых в работе электронных и иных справочно-информационных ресурсов;</w:t>
            </w:r>
          </w:p>
          <w:p>
            <w:pPr>
              <w:pStyle w:val="0"/>
              <w:ind w:firstLine="283"/>
              <w:jc w:val="both"/>
            </w:pPr>
            <w:r>
              <w:rPr>
                <w:sz w:val="20"/>
              </w:rPr>
              <w:t xml:space="preserve">типовой перечень поводов для оказания справочно-консультативной помощи и соответствующих им справочно-информационных ресурсов, применяемых для поиска информации;</w:t>
            </w:r>
          </w:p>
          <w:p>
            <w:pPr>
              <w:pStyle w:val="0"/>
              <w:ind w:firstLine="283"/>
              <w:jc w:val="both"/>
            </w:pPr>
            <w:r>
              <w:rPr>
                <w:sz w:val="20"/>
              </w:rPr>
              <w:t xml:space="preserve">содержание рекомендаций по правилам поведения заявителя на месте происшествия и соответствующих им методических документов;</w:t>
            </w:r>
          </w:p>
          <w:p>
            <w:pPr>
              <w:pStyle w:val="0"/>
              <w:ind w:firstLine="283"/>
              <w:jc w:val="both"/>
            </w:pPr>
            <w:r>
              <w:rPr>
                <w:sz w:val="20"/>
              </w:rPr>
              <w:t xml:space="preserve">перечень общественных поисково-спасательных организаций, которые могут быть привлечены для предоставления заявителю специальной справочной информации и/или специальных рекомендаций (при наличии);</w:t>
            </w:r>
          </w:p>
          <w:p>
            <w:pPr>
              <w:pStyle w:val="0"/>
              <w:ind w:firstLine="283"/>
              <w:jc w:val="both"/>
            </w:pPr>
            <w:r>
              <w:rPr>
                <w:sz w:val="20"/>
              </w:rPr>
              <w:t xml:space="preserve">правила русской письменной и устной речи;</w:t>
            </w:r>
          </w:p>
          <w:p>
            <w:pPr>
              <w:pStyle w:val="0"/>
              <w:ind w:firstLine="283"/>
              <w:jc w:val="both"/>
            </w:pPr>
            <w:r>
              <w:rPr>
                <w:sz w:val="20"/>
              </w:rPr>
              <w:t xml:space="preserve">этические нормы общения, речевой и деловой этикет;</w:t>
            </w:r>
          </w:p>
          <w:p>
            <w:pPr>
              <w:pStyle w:val="0"/>
              <w:ind w:firstLine="283"/>
              <w:jc w:val="both"/>
            </w:pPr>
            <w:r>
              <w:rPr>
                <w:sz w:val="20"/>
              </w:rPr>
              <w:t xml:space="preserve">правила электробезопасности при использовании средств телекоммуникации, применяемых для приема экстренных вызовов;</w:t>
            </w:r>
          </w:p>
          <w:p>
            <w:pPr>
              <w:pStyle w:val="0"/>
              <w:ind w:firstLine="283"/>
              <w:jc w:val="both"/>
            </w:pPr>
            <w:r>
              <w:rPr>
                <w:sz w:val="20"/>
              </w:rPr>
              <w:t xml:space="preserve">уметь:</w:t>
            </w:r>
          </w:p>
          <w:p>
            <w:pPr>
              <w:pStyle w:val="0"/>
              <w:ind w:firstLine="283"/>
              <w:jc w:val="both"/>
            </w:pPr>
            <w:r>
              <w:rPr>
                <w:sz w:val="20"/>
              </w:rPr>
              <w:t xml:space="preserve">кратко и понятно формулировать информацию, передаваемую заявителю;</w:t>
            </w:r>
          </w:p>
          <w:p>
            <w:pPr>
              <w:pStyle w:val="0"/>
              <w:ind w:firstLine="283"/>
              <w:jc w:val="both"/>
            </w:pPr>
            <w:r>
              <w:rPr>
                <w:sz w:val="20"/>
              </w:rPr>
              <w:t xml:space="preserve">оценивать и учитывать психологическое состояние заявителя;</w:t>
            </w:r>
          </w:p>
          <w:p>
            <w:pPr>
              <w:pStyle w:val="0"/>
              <w:ind w:firstLine="283"/>
              <w:jc w:val="both"/>
            </w:pPr>
            <w:r>
              <w:rPr>
                <w:sz w:val="20"/>
              </w:rPr>
              <w:t xml:space="preserve">использовать невербальные атрибуты речи: интонацию, темп, силу голоса;</w:t>
            </w:r>
          </w:p>
          <w:p>
            <w:pPr>
              <w:pStyle w:val="0"/>
              <w:ind w:firstLine="283"/>
              <w:jc w:val="both"/>
            </w:pPr>
            <w:r>
              <w:rPr>
                <w:sz w:val="20"/>
              </w:rPr>
              <w:t xml:space="preserve">использовать средства телекоммуникации, применяемые для справочно-консультативной помощи заявителя;</w:t>
            </w:r>
          </w:p>
          <w:p>
            <w:pPr>
              <w:pStyle w:val="0"/>
              <w:ind w:firstLine="283"/>
              <w:jc w:val="both"/>
            </w:pPr>
            <w:r>
              <w:rPr>
                <w:sz w:val="20"/>
              </w:rPr>
              <w:t xml:space="preserve">управлять вызовом с использованием функциональных возможностей телефонии;</w:t>
            </w:r>
          </w:p>
          <w:p>
            <w:pPr>
              <w:pStyle w:val="0"/>
              <w:ind w:firstLine="283"/>
              <w:jc w:val="both"/>
            </w:pPr>
            <w:r>
              <w:rPr>
                <w:sz w:val="20"/>
              </w:rPr>
              <w:t xml:space="preserve">использовать аппаратно-программные средства для поиска информации, необходимой заявителю;</w:t>
            </w:r>
          </w:p>
          <w:p>
            <w:pPr>
              <w:pStyle w:val="0"/>
              <w:ind w:firstLine="283"/>
              <w:jc w:val="both"/>
            </w:pPr>
            <w:r>
              <w:rPr>
                <w:sz w:val="20"/>
              </w:rPr>
              <w:t xml:space="preserve">использовать резервные информационные ресурсы, хранимые в печатном виде (при сбоях в работе аппаратно-программных средств);</w:t>
            </w:r>
          </w:p>
        </w:tc>
      </w:tr>
      <w:tr>
        <w:tblPrEx>
          <w:tblBorders>
            <w:insideH w:val="nil"/>
          </w:tblBorders>
        </w:tblPrEx>
        <w:tc>
          <w:tcPr>
            <w:tcW w:w="2324" w:type="dxa"/>
            <w:tcBorders>
              <w:top w:val="nil"/>
            </w:tcBorders>
          </w:tcPr>
          <w:p>
            <w:pPr>
              <w:pStyle w:val="0"/>
            </w:pPr>
            <w:r>
              <w:rPr>
                <w:sz w:val="20"/>
              </w:rPr>
            </w:r>
          </w:p>
        </w:tc>
        <w:tc>
          <w:tcPr>
            <w:tcW w:w="6690" w:type="dxa"/>
            <w:tcBorders>
              <w:top w:val="nil"/>
            </w:tcBorders>
          </w:tcPr>
          <w:p>
            <w:pPr>
              <w:pStyle w:val="0"/>
              <w:ind w:firstLine="283"/>
              <w:jc w:val="both"/>
            </w:pPr>
            <w:r>
              <w:rPr>
                <w:sz w:val="20"/>
              </w:rPr>
              <w:t xml:space="preserve">пользоваться топографической картой для содействия в ориентировании потерявшемуся человеку;</w:t>
            </w:r>
          </w:p>
          <w:p>
            <w:pPr>
              <w:pStyle w:val="0"/>
              <w:ind w:firstLine="283"/>
              <w:jc w:val="both"/>
            </w:pPr>
            <w:r>
              <w:rPr>
                <w:sz w:val="20"/>
              </w:rPr>
              <w:t xml:space="preserve">использовать контактные данные общественных поисково-спасательных организаций, которые могут быть привлечены для предоставления заявителю специальной справочной информации и/или специальных рекомендаций (при наличии);</w:t>
            </w:r>
          </w:p>
          <w:p>
            <w:pPr>
              <w:pStyle w:val="0"/>
              <w:ind w:firstLine="283"/>
              <w:jc w:val="both"/>
            </w:pPr>
            <w:r>
              <w:rPr>
                <w:sz w:val="20"/>
              </w:rPr>
              <w:t xml:space="preserve">управлять речевым взаимодействием, в том числе в ситуациях, когда участниками коммуникации являются несколько человек;</w:t>
            </w:r>
          </w:p>
          <w:p>
            <w:pPr>
              <w:pStyle w:val="0"/>
              <w:ind w:firstLine="283"/>
              <w:jc w:val="both"/>
            </w:pPr>
            <w:r>
              <w:rPr>
                <w:sz w:val="20"/>
              </w:rPr>
              <w:t xml:space="preserve">набирать текст на клавиатуре со скоростью не менее 100 символов в минуту;</w:t>
            </w:r>
          </w:p>
          <w:p>
            <w:pPr>
              <w:pStyle w:val="0"/>
              <w:ind w:firstLine="283"/>
              <w:jc w:val="both"/>
            </w:pPr>
            <w:r>
              <w:rPr>
                <w:sz w:val="20"/>
              </w:rPr>
              <w:t xml:space="preserve">иметь практический опыт в:</w:t>
            </w:r>
          </w:p>
          <w:p>
            <w:pPr>
              <w:pStyle w:val="0"/>
              <w:ind w:firstLine="283"/>
              <w:jc w:val="both"/>
            </w:pPr>
            <w:r>
              <w:rPr>
                <w:sz w:val="20"/>
              </w:rPr>
              <w:t xml:space="preserve">оказании справочно-консультативной помощи заявителям.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21.04.2021 N 192</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176C8C99CDD121A15FFBA599C474B9AAEAE5178A913D7F60E42890C47B5787FCB91DA190EB6A307CE1941F21993BBBA5FA70F30CE94E94g3AEK" TargetMode = "External"/>
	<Relationship Id="rId8" Type="http://schemas.openxmlformats.org/officeDocument/2006/relationships/hyperlink" Target="consultantplus://offline/ref=06176C8C99CDD121A15FFBA599C474B9ADE0ED148B953D7F60E42890C47B5787FCB91DA190EB6A327FE1941F21993BBBA5FA70F30CE94E94g3AEK" TargetMode = "External"/>
	<Relationship Id="rId9" Type="http://schemas.openxmlformats.org/officeDocument/2006/relationships/hyperlink" Target="consultantplus://offline/ref=06176C8C99CDD121A15FFBA599C474B9ADEEE3108E953D7F60E42890C47B5787FCB91DA190EB63337EE1941F21993BBBA5FA70F30CE94E94g3AEK" TargetMode = "External"/>
	<Relationship Id="rId10" Type="http://schemas.openxmlformats.org/officeDocument/2006/relationships/hyperlink" Target="consultantplus://offline/ref=06176C8C99CDD121A15FFBA599C474B9ACE8E0108D973D7F60E42890C47B5787FCB91DA190EB6A317AE1941F21993BBBA5FA70F30CE94E94g3AEK" TargetMode = "External"/>
	<Relationship Id="rId11" Type="http://schemas.openxmlformats.org/officeDocument/2006/relationships/hyperlink" Target="consultantplus://offline/ref=06176C8C99CDD121A15FFBA599C474B9AAEAE7138C913D7F60E42890C47B5787FCB91DA190EB683174E1941F21993BBBA5FA70F30CE94E94g3AEK" TargetMode = "External"/>
	<Relationship Id="rId12" Type="http://schemas.openxmlformats.org/officeDocument/2006/relationships/hyperlink" Target="consultantplus://offline/ref=06176C8C99CDD121A15FFBA599C474B9AFE1E21E8C9F3D7F60E42890C47B5787FCB91DA190EB6A3574E1941F21993BBBA5FA70F30CE94E94g3A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21.04.2021 N 192
"Об утверждении федерального государственного образовательного стандарта среднего профессионального образования по специальности 20.02.05 Организация оперативного (экстренного) реагирования в чрезвычайных ситуациях"
(Зарегистрировано в Минюсте России 26.05.2021 N 63627)</dc:title>
  <dcterms:created xsi:type="dcterms:W3CDTF">2022-12-16T10:00:32Z</dcterms:created>
</cp:coreProperties>
</file>