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21.04.2022 N 258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19.01.09 Мастер по эксплуатации, механизации, автоматизации и роботизации технологического оборудования и процессов пищевой промышленности"</w:t>
              <w:br/>
              <w:t xml:space="preserve">(Зарегистрировано в Минюсте России 02.06.2022 N 68713)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 июня 2022 г. N 68713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21 апреля 2022 г. N 258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</w:t>
      </w:r>
    </w:p>
    <w:p>
      <w:pPr>
        <w:pStyle w:val="2"/>
        <w:jc w:val="center"/>
      </w:pPr>
      <w:r>
        <w:rPr>
          <w:sz w:val="20"/>
        </w:rPr>
        <w:t xml:space="preserve">СТАНДАРТА СРЕДНЕГО ПРОФЕССИОНАЛЬНОГО ОБРАЗОВАНИЯ</w:t>
      </w:r>
    </w:p>
    <w:p>
      <w:pPr>
        <w:pStyle w:val="2"/>
        <w:jc w:val="center"/>
      </w:pPr>
      <w:r>
        <w:rPr>
          <w:sz w:val="20"/>
        </w:rPr>
        <w:t xml:space="preserve">ПО ПРОФЕССИИ 19.01.09 МАСТЕР ПО ЭКСПЛУАТАЦИИ, МЕХАНИЗАЦИИ,</w:t>
      </w:r>
    </w:p>
    <w:p>
      <w:pPr>
        <w:pStyle w:val="2"/>
        <w:jc w:val="center"/>
      </w:pPr>
      <w:r>
        <w:rPr>
          <w:sz w:val="20"/>
        </w:rPr>
        <w:t xml:space="preserve">АВТОМАТИЗАЦИИ И РОБОТИЗАЦИИ ТЕХНОЛОГИЧЕСКОГО ОБОРУДОВАНИЯ</w:t>
      </w:r>
    </w:p>
    <w:p>
      <w:pPr>
        <w:pStyle w:val="2"/>
        <w:jc w:val="center"/>
      </w:pPr>
      <w:r>
        <w:rPr>
          <w:sz w:val="20"/>
        </w:rPr>
        <w:t xml:space="preserve">И ПРОЦЕССОВ ПИЩЕВОЙ ПРОМЫШЛЕННОСТИ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28.07.2018 N 884 (ред. от 10.11.2022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4.2.30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w:history="0" r:id="rId8" w:tooltip="Постановление Правительства РФ от 12.04.2019 N 434 (ред. от 22.10.2021) &quot;Об утверждении Правил разработки,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27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19.01.09 Мастер по эксплуатации, механизации, автоматизации и роботизации технологического оборудования и процессов пищевой промышленности (далее - стандарт).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вправе осуществлять в соответствии со стандартом обучение лиц, зачисленных до вступления в силу настоящего приказа, с их согласия;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на обучение в соответствии с федеральным государственным образовательным </w:t>
      </w:r>
      <w:hyperlink w:history="0" r:id="rId9" w:tooltip="Приказ Минобрнауки России от 02.08.2013 N 791 (ред. от 13.07.2021) &quot;Об утверждении федерального государственного образовательного стандарта среднего профессионального образования по профессии 260121.01 Наладчик оборудования в производстве пищевой продукции (по отраслям производства)&quot; (Зарегистрировано в Минюсте России 20.08.2013 N 29722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профессии </w:t>
      </w:r>
      <w:hyperlink w:history="0" r:id="rId10" w:tooltip="Приказ Минобрнауки РФ от 28.09.2009 N 354 (ред. от 21.02.2012) &quot;Об утверждении Перечня профессий начального профессионального образования&quot; (Зарегистрировано в Минюсте РФ 22.10.2009 N 15083) ------------ Утратил силу или отменен {КонсультантПлюс}">
        <w:r>
          <w:rPr>
            <w:sz w:val="20"/>
            <w:color w:val="0000ff"/>
          </w:rPr>
          <w:t xml:space="preserve">260121.01</w:t>
        </w:r>
      </w:hyperlink>
      <w:r>
        <w:rPr>
          <w:sz w:val="20"/>
        </w:rPr>
        <w:t xml:space="preserve"> Наладчик оборудования в производстве пищевой продукции (по отраслям производства), утвержденным приказом Министерства образования и науки Российской Федерации от 2 августа 2013 г. N 791 (зарегистрирован Министерством юстиции Российской Федерации 20 августа 2013 г., регистрационный N 29722), с изменениями, внесенными приказом Министерства образования и науки Российской Федерации от 9 апреля 2015 г. N 390 (зарегистрирован Министерством юстиции Российской Федерации 8 мая 2015 г., регистрационный N 37199) и приказом Министерства просвещения Российской Федерации от 13 июля 2021 г. N 450 (зарегистрирован Министерством юстиции Российской Федерации 14 октября 2021 г., регистрационный N 65410), прекращается с 31 декабря 2022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С.С.КРАВЦОВ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21 апреля 2022 г. N 258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19.01.09 МАСТЕР ПО ЭКСПЛУАТАЦИИ, МЕХАНИЗАЦИИ,</w:t>
      </w:r>
    </w:p>
    <w:p>
      <w:pPr>
        <w:pStyle w:val="2"/>
        <w:jc w:val="center"/>
      </w:pPr>
      <w:r>
        <w:rPr>
          <w:sz w:val="20"/>
        </w:rPr>
        <w:t xml:space="preserve">АВТОМАТИЗАЦИИ И РОБОТИЗАЦИИ ТЕХНОЛОГИЧЕСКОГО</w:t>
      </w:r>
    </w:p>
    <w:p>
      <w:pPr>
        <w:pStyle w:val="2"/>
        <w:jc w:val="center"/>
      </w:pPr>
      <w:r>
        <w:rPr>
          <w:sz w:val="20"/>
        </w:rPr>
        <w:t xml:space="preserve">ОБОРУДОВАНИЯ И ПРОЦЕССОВ ПИЩЕВОЙ ПРОМЫШЛЕННОСТИ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bookmarkStart w:id="44" w:name="P44"/>
    <w:bookmarkEnd w:id="44"/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квалифицированных рабочих, служащих по профессии 19.01.09 Мастер по эксплуатации, механизации, автоматизации и роботизации технологического оборудования и процессов пищевой промышленности (далее соответственно - ФГОС СПО, образовательная программа, профессия) в соответствии с квалификацией квалифицированного рабочего, служащего "мастер по эксплуатации, механизации, автоматизации и роботизации технологического оборудования и процессов пищевой промышленности".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Получение образования по профессии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bookmarkStart w:id="46" w:name="P46"/>
    <w:bookmarkEnd w:id="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Содержание образования по профессии определяется образовательной программой, разрабатываемой образовательной организацией в соответствии с ФГОС СПО и с учетом соответствующей примерной основной образовательной программы, включенной в реестр примерных основных образовательных программ (далее - ПООП), и предполагает освоение следующих видов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операций технического обслуживания и ремонта механического оборудования автоматизированных технологических линий по производству продуктов 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операций технического обслуживания, монтажа и наладки контрольно-измерительных приборов и систем автоматики автоматизированных технологических линий по производству продуктов питания.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&lt;1&gt; и ФГОС СПО с учетом получаемой профессии.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Федеральный государственный образовательный </w:t>
      </w:r>
      <w:hyperlink w:history="0" r:id="rId11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 и от И декабря 2020 г. N 712 (зарегистрирован Министерством юстиции Российской Федерации 25 декабря 2020 г., регистрационный N 61828).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1.5. Обучение по образовательной программе в образовательной организации осуществляется в очной и очно-заочной формах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ПООП примерной рабочей программы воспитания и примерного календарного плана воспитательной работы &lt;2&gt;.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1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2 статьи 12</w:t>
        </w:r>
      </w:hyperlink>
      <w:hyperlink w:history="0" r:id="rId13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  <w:vertAlign w:val="superscript"/>
          </w:rPr>
          <w:t xml:space="preserve">1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1.9.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Статья 14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>
      <w:pPr>
        <w:pStyle w:val="0"/>
        <w:jc w:val="both"/>
      </w:pPr>
      <w:r>
        <w:rPr>
          <w:sz w:val="20"/>
        </w:rPr>
      </w:r>
    </w:p>
    <w:bookmarkStart w:id="66" w:name="P66"/>
    <w:bookmarkEnd w:id="66"/>
    <w:p>
      <w:pPr>
        <w:pStyle w:val="0"/>
        <w:ind w:firstLine="540"/>
        <w:jc w:val="both"/>
      </w:pPr>
      <w:r>
        <w:rPr>
          <w:sz w:val="20"/>
        </w:rPr>
        <w:t xml:space="preserve">1.10.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- 10 месяцев;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- 1 год 10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получения образования по образовательной программе в очно-заочной форме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Конкретный срок получения образования в очно-заочной форме обучения, а также по индивидуальному учебному плану, в том числе при ускоренном обучении, определяется образовательной организацией самостоятельно в пределах сроков, установленных </w:t>
      </w:r>
      <w:hyperlink w:history="0" w:anchor="P66" w:tooltip="1.10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">
        <w:r>
          <w:rPr>
            <w:sz w:val="20"/>
            <w:color w:val="0000ff"/>
          </w:rPr>
          <w:t xml:space="preserve">пунктом 1.10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1.13.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bookmarkStart w:id="74" w:name="P74"/>
    <w:bookmarkEnd w:id="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1.14.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22 Пищевая промышленность, включая производство напитков и табака &lt;4&gt;.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5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Таблица</w:t>
        </w:r>
      </w:hyperlink>
      <w:r>
        <w:rPr>
          <w:sz w:val="20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1.15. При разработке образовательной программы организация устанавливает направленность, которая соответствует профессии в целом, с учетом соответствующей ПООП.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ТРЕБОВАНИЯ К СТРУКТУРЕ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Структура образовательной программы </w:t>
      </w:r>
      <w:hyperlink w:history="0" w:anchor="P90" w:tooltip="Структура и объем образовательной программы">
        <w:r>
          <w:rPr>
            <w:sz w:val="20"/>
            <w:color w:val="0000ff"/>
          </w:rPr>
          <w:t xml:space="preserve">(таблица N 1)</w:t>
        </w:r>
      </w:hyperlink>
      <w:r>
        <w:rPr>
          <w:sz w:val="20"/>
        </w:rPr>
        <w:t xml:space="preserve">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дисциплины (модули);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государственную итоговую аттестацию.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N 1</w:t>
      </w:r>
    </w:p>
    <w:p>
      <w:pPr>
        <w:pStyle w:val="0"/>
        <w:jc w:val="both"/>
      </w:pPr>
      <w:r>
        <w:rPr>
          <w:sz w:val="20"/>
        </w:rPr>
      </w:r>
    </w:p>
    <w:bookmarkStart w:id="90" w:name="P90"/>
    <w:bookmarkEnd w:id="90"/>
    <w:p>
      <w:pPr>
        <w:pStyle w:val="2"/>
        <w:jc w:val="center"/>
      </w:pPr>
      <w:r>
        <w:rPr>
          <w:sz w:val="20"/>
        </w:rPr>
        <w:t xml:space="preserve">Структура и объем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818"/>
        <w:gridCol w:w="4251"/>
      </w:tblGrid>
      <w:tr>
        <w:tc>
          <w:tcPr>
            <w:tcW w:w="48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Структура образовательной программы</w:t>
            </w:r>
          </w:p>
        </w:tc>
        <w:tc>
          <w:tcPr>
            <w:tcW w:w="42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образовательной программы, в академических часах</w:t>
            </w:r>
          </w:p>
        </w:tc>
      </w:tr>
      <w:tr>
        <w:tc>
          <w:tcPr>
            <w:tcW w:w="481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Дисциплины (модули)</w:t>
            </w:r>
          </w:p>
        </w:tc>
        <w:tc>
          <w:tcPr>
            <w:tcW w:w="425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540</w:t>
            </w:r>
          </w:p>
        </w:tc>
      </w:tr>
      <w:tr>
        <w:tc>
          <w:tcPr>
            <w:tcW w:w="481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Практика</w:t>
            </w:r>
          </w:p>
        </w:tc>
        <w:tc>
          <w:tcPr>
            <w:tcW w:w="425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468</w:t>
            </w:r>
          </w:p>
        </w:tc>
      </w:tr>
      <w:tr>
        <w:tc>
          <w:tcPr>
            <w:tcW w:w="481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425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</w:tr>
      <w:tr>
        <w:tc>
          <w:tcPr>
            <w:gridSpan w:val="2"/>
            <w:tcW w:w="9069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</w:tr>
      <w:tr>
        <w:tc>
          <w:tcPr>
            <w:tcW w:w="481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425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1476</w:t>
            </w:r>
          </w:p>
        </w:tc>
      </w:tr>
      <w:tr>
        <w:tc>
          <w:tcPr>
            <w:tcW w:w="481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42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2952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2.2. Образовательная программа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социально-гуманитарный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цикл.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history="0" w:anchor="P128" w:tooltip="III. ТРЕБОВАНИЯ К РЕЗУЛЬТАТАМ ОСВОЕНИЯ">
        <w:r>
          <w:rPr>
            <w:sz w:val="20"/>
            <w:color w:val="0000ff"/>
          </w:rPr>
          <w:t xml:space="preserve">главой III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обязательной части без учета объема государственной итоговой аттестации должен составлять не более 70 процентов от общего объема времени, отведенного на освоение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Вариативная часть образовательной программы объемом не менее 30 процентов от общего объема времени, отведенного на освоение образовательной программы, дает возможность дальнейшего развития общих и профессиональных компетенций, в том числе за счет расширения видов деятельности, введения дополнительных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 Конкретное соотношение обязательной и вариативной части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обучения, не менее 25 процентов - в очно-заочной форме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культура", "Основы бережливого производства", "Основы финансовой грамотности".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объем дисциплины "Безопасность жизнедеятельности" в очной форме обучения не может быть менее 36 академических часов, из них на освоение основ военной службы (для юношей) - не менее 24 академических часов; для подгрупп девушек это время может быть использовано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Обязательная часть общепрофессионального цикла образовательной программы должна предусматривать изучение следующих дисциплин: "Механика", "Электротехника", "Охрана труда", "Техническое оснащение и организация рабочего места".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Профессиональный цикл образовательной программы включает профессиональные модули, которые формируются в соответствии с видами деятельности, предусмотренными </w:t>
      </w:r>
      <w:hyperlink w:history="0" w:anchor="P46" w:tooltip="1.3. Содержание образования по профессии определяется образовательной программой, разрабатываемой образовательной организацией в соответствии с ФГОС СПО и с учетом соответствующей примерной основной образовательной программы, включенной в реестр примерных основных образовательных программ (далее - ПООП), и предполагает освоение следующих видов деятельности:">
        <w:r>
          <w:rPr>
            <w:sz w:val="20"/>
            <w:color w:val="0000ff"/>
          </w:rPr>
          <w:t xml:space="preserve">пунктом 1.3</w:t>
        </w:r>
      </w:hyperlink>
      <w:r>
        <w:rPr>
          <w:sz w:val="20"/>
        </w:rPr>
        <w:t xml:space="preserve"> ФГОС СПО.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4 зачетных единиц.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рассредоточено, чередуясь с учебными занятиями. Типы практики устанавливаются образовательной организацией самостоятельно с учетом ПООП.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Образовательная организация должна предоставлять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Государственная итоговая аттестация проводится в форме демонстрационного экзамена.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Государственная итоговая аттестация завершается присвоением квалификации квалифицированного рабочего, служащего, указанной в </w:t>
      </w:r>
      <w:hyperlink w:history="0" w:anchor="P44" w:tooltip="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квалифицированных рабочих, служащих по профессии 19.01.09 Мастер по эксплуатации, механизации, автоматизации и роботизации технологического оборудования и процессов пищевой промышленности (далее соответственно - ФГОС СПО, образовательная програм..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ФГОС СПО.</w:t>
      </w:r>
    </w:p>
    <w:p>
      <w:pPr>
        <w:pStyle w:val="0"/>
        <w:jc w:val="both"/>
      </w:pPr>
      <w:r>
        <w:rPr>
          <w:sz w:val="20"/>
        </w:rPr>
      </w:r>
    </w:p>
    <w:bookmarkStart w:id="128" w:name="P128"/>
    <w:bookmarkEnd w:id="128"/>
    <w:p>
      <w:pPr>
        <w:pStyle w:val="2"/>
        <w:outlineLvl w:val="1"/>
        <w:jc w:val="center"/>
      </w:pPr>
      <w:r>
        <w:rPr>
          <w:sz w:val="20"/>
        </w:rPr>
        <w:t xml:space="preserve">III. ТРЕБОВАНИЯ К РЕЗУЛЬТАТАМ ОСВОЕНИЯ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результате освоения образовательной программы у выпускника должны быть сформированы общие и профессиональные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Выпускник, освоивший образовательную программу,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видам деятельности (таблица N 2), предусмотренными </w:t>
      </w:r>
      <w:hyperlink w:history="0" w:anchor="P46" w:tooltip="1.3. Содержание образования по профессии определяется образовательной программой, разрабатываемой образовательной организацией в соответствии с ФГОС СПО и с учетом соответствующей примерной основной образовательной программы, включенной в реестр примерных основных образовательных программ (далее - ПООП), и предполагает освоение следующих видов деятельности:">
        <w:r>
          <w:rPr>
            <w:sz w:val="20"/>
            <w:color w:val="0000ff"/>
          </w:rPr>
          <w:t xml:space="preserve">пунктом 1.3</w:t>
        </w:r>
      </w:hyperlink>
      <w:r>
        <w:rPr>
          <w:sz w:val="20"/>
        </w:rPr>
        <w:t xml:space="preserve"> ФГОС СПО, сформированными в том числе на основе профессиональных стандартов (при наличии), указанных в ПООП: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N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21"/>
        <w:gridCol w:w="6349"/>
      </w:tblGrid>
      <w:tr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деятельности</w:t>
            </w:r>
          </w:p>
        </w:tc>
        <w:tc>
          <w:tcPr>
            <w:tcW w:w="63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Профессиональные компетенции, соответствующие видам деятельности</w:t>
            </w:r>
          </w:p>
        </w:tc>
      </w:tr>
      <w:tr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3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операций технического обслуживания и ремонта механического оборудования автоматизированных технологических линий по производству продуктов питания</w:t>
            </w:r>
          </w:p>
        </w:tc>
        <w:tc>
          <w:tcPr>
            <w:tcW w:w="6349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1.1. Выполнять такелажные, грузоподъемные, монтажные и слесарно-механические работы на технологическом оборудовании автоматизированных технологических линий по производству продуктов питания.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1.2. Выполнять ремонт и монтаж, а также осуществлять контроль результатов проведения ремонтных и монтажных работ, контрольно-измерительных приборов, установленных на автоматизированных технологических линиях по производству продуктов питания.</w:t>
            </w:r>
          </w:p>
        </w:tc>
      </w:tr>
      <w:tr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операций технического обслуживания, монтажа и наладки контрольно-измерительных приборов и систем автоматики автоматизированных технологических линий по производству продуктов питания</w:t>
            </w:r>
          </w:p>
        </w:tc>
        <w:tc>
          <w:tcPr>
            <w:tcW w:w="63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2.1. Выполнять операции монтажа и наладки контрольно-измерительных приборов и систем автоматики автоматизированных технологических линий по производству продуктов питания.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2.2. Выполнять операции по техническому обслуживанию, комплексной наладке и регулировке систем автоматики автоматизированных технологических линий по производству продуктов питания.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 </w:t>
      </w:r>
      <w:hyperlink w:history="0" w:anchor="P46" w:tooltip="1.3. Содержание образования по профессии определяется образовательной программой, разрабатываемой образовательной организацией в соответствии с ФГОС СПО и с учетом соответствующей примерной основной образовательной программы, включенной в реестр примерных основных образовательных программ (далее - ПООП), и предполагает освоение следующих видов деятельности:">
        <w:r>
          <w:rPr>
            <w:sz w:val="20"/>
            <w:color w:val="0000ff"/>
          </w:rPr>
          <w:t xml:space="preserve">пунктом 1.3</w:t>
        </w:r>
      </w:hyperlink>
      <w:r>
        <w:rPr>
          <w:sz w:val="20"/>
        </w:rPr>
        <w:t xml:space="preserve"> ФГОС СПО, а также по видам деятельности, сформированными в вариативной части образовательной программы образовательной организацией для учета потребностей регионального рынка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осваиваемых в рамках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Образовательная организация с учетом ПООП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Обучающиеся, осваивающие образовательную программу, могут освоить профессию рабочего, должность служащего (одну или несколько) в соответствии с перечнем профессий рабочих, должностей служащих, по которым осуществляется профессиональное обучение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16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7 статьи 73</w:t>
        </w:r>
      </w:hyperlink>
      <w:r>
        <w:rPr>
          <w:sz w:val="20"/>
        </w:rPr>
        <w:t xml:space="preserve"> Федерального закона от 29 декабря 2012 г. N 273-ФЗ "Об образовании и Российской Федерации" (Собрание законодательства Российской Федерации, 2012, N 53, ст. 7598; 2020, N 22, ст. 3379).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К УСЛОВИЯМ РЕАЛИЗАЦИИ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Федеральный </w:t>
      </w:r>
      <w:hyperlink w:history="0" r:id="rId17" w:tooltip="Федеральный закон от 30.03.1999 N 52-ФЗ (ред. от 04.11.2022) &quot;О санитарно-эпидемиологическом благополучии населения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2021, N 27, ст. 5185); санитарные правила </w:t>
      </w:r>
      <w:hyperlink w:history="0" r:id="rId18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СП 2.4.3648-20</w:t>
        </w:r>
      </w:hyperlink>
      <w:r>
        <w:rPr>
          <w:sz w:val="20"/>
        </w:rP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санитарно-эпидемиологические правила и нормы </w:t>
      </w:r>
      <w:hyperlink w:history="0" r:id="rId19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&quot;СанПиН 2.3/2.4.3590-20. Санитарно-эпидемиологические правила и нормы...&quot;) (Зарегистрировано в Минюсте России 11.11.2020 N 60833) {КонсультантПлюс}">
        <w:r>
          <w:rPr>
            <w:sz w:val="20"/>
            <w:color w:val="0000ff"/>
          </w:rPr>
          <w:t xml:space="preserve">СанПиН 2.3/2.4.3590-20</w:t>
        </w:r>
      </w:hyperlink>
      <w:r>
        <w:rPr>
          <w:sz w:val="20"/>
        </w:rP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60833); санитарные правила и нормы </w:t>
      </w:r>
      <w:hyperlink w:history="0" r:id="rId20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СанПиН 1.2.3685-21</w:t>
        </w:r>
      </w:hyperlink>
      <w:r>
        <w:rPr>
          <w:sz w:val="20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Общесистемные требования к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учебным планом, с учетом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Требования к материально-техническому и учебно-методическому обеспечению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допускается замена оборудования его виртуальными аналогами;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 качестве основной литературы образовательная организация использует учебники, учебные пособия, предусмотренные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обучающимся должен быть обеспечен доступ,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образовательная программа должна обеспечиваться учебно-методической документацией по всем учебным дисциплинам (модулям), видам практики, государственной итоговой аттестации;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Требования к кадровым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history="0" w:anchor="P74" w:tooltip="1.14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22 Пищевая промышленность, включая производство напитков и табака &lt;4&gt;.">
        <w:r>
          <w:rPr>
            <w:sz w:val="20"/>
            <w:color w:val="0000ff"/>
          </w:rPr>
          <w:t xml:space="preserve">пункте 1.14</w:t>
        </w:r>
      </w:hyperlink>
      <w:r>
        <w:rPr>
          <w:sz w:val="20"/>
        </w:rPr>
        <w:t xml:space="preserve"> ФГОС СПО (имеющих стаж работы в данной профессиональной области не менее трех лет);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history="0" w:anchor="P74" w:tooltip="1.14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22 Пищевая промышленность, включая производство напитков и табака &lt;4&gt;.">
        <w:r>
          <w:rPr>
            <w:sz w:val="20"/>
            <w:color w:val="0000ff"/>
          </w:rPr>
          <w:t xml:space="preserve">пункте 1.14</w:t>
        </w:r>
      </w:hyperlink>
      <w:r>
        <w:rPr>
          <w:sz w:val="20"/>
        </w:rP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области профессиональной деятельности, указанной в </w:t>
      </w:r>
      <w:hyperlink w:history="0" w:anchor="P74" w:tooltip="1.14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22 Пищевая промышленность, включая производство напитков и табака &lt;4&gt;.">
        <w:r>
          <w:rPr>
            <w:sz w:val="20"/>
            <w:color w:val="0000ff"/>
          </w:rPr>
          <w:t xml:space="preserve">пункте 1.14</w:t>
        </w:r>
      </w:hyperlink>
      <w:r>
        <w:rPr>
          <w:sz w:val="20"/>
        </w:rP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Требование к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профессии с учетом корректирующих коэффициентов.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Требования к применяемым механизмам оценки качества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внешняя оценка качества образовательной программы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целях признания качества и уровня подготовки выпускников, освоивших данную образовательную программу в конкретной организации, осуществляющей образовательную деятельность, отвечающих требованиям профессиональных стандартов, требованиям рынка труда к специалистам, рабочим и служащим соответствующего профиля.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21.04.2022 N 258</w:t>
            <w:br/>
            <w:t>"Об утверждении федерального государственного образовательного стандарт...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E952837B239BDAB524E27A82E0F2AAEC492FF8B6C5C01D52B27D7B71F07D9C2DFEFB7A33FD09448DD9D59FBBA785A2A10D60C00B192E7A054NEH" TargetMode = "External"/>
	<Relationship Id="rId8" Type="http://schemas.openxmlformats.org/officeDocument/2006/relationships/hyperlink" Target="consultantplus://offline/ref=BE952837B239BDAB524E27A82E0F2AAEC398F7886D5801D52B27D7B71F07D9C2DFEFB7A33FD0944ADE9D59FBBA785A2A10D60C00B192E7A054NEH" TargetMode = "External"/>
	<Relationship Id="rId9" Type="http://schemas.openxmlformats.org/officeDocument/2006/relationships/hyperlink" Target="consultantplus://offline/ref=BE952837B239BDAB524E27A82E0F2AAEC398F68E6C5C01D52B27D7B71F07D9C2DFEFB7A33FD0944CDE9D59FBBA785A2A10D60C00B192E7A054NEH" TargetMode = "External"/>
	<Relationship Id="rId10" Type="http://schemas.openxmlformats.org/officeDocument/2006/relationships/hyperlink" Target="consultantplus://offline/ref=BE952837B239BDAB524E27A82E0F2AAEC193F98D615E01D52B27D7B71F07D9C2DFEFB7A736DBC01C98C300ABF833562908CA0D005ANDH" TargetMode = "External"/>
	<Relationship Id="rId11" Type="http://schemas.openxmlformats.org/officeDocument/2006/relationships/hyperlink" Target="consultantplus://offline/ref=BE952837B239BDAB524E27A82E0F2AAEC493F88E6D5C01D52B27D7B71F07D9C2DFEFB7A63484C509899B0CACE02C553514C80F50N0H" TargetMode = "External"/>
	<Relationship Id="rId12" Type="http://schemas.openxmlformats.org/officeDocument/2006/relationships/hyperlink" Target="consultantplus://offline/ref=BE952837B239BDAB524E27A82E0F2AAEC492FD8F6A5C01D52B27D7B71F07D9C2DFEFB7A63BD69F198DD258A7FF2B492A14D60F02AD59N2H" TargetMode = "External"/>
	<Relationship Id="rId13" Type="http://schemas.openxmlformats.org/officeDocument/2006/relationships/hyperlink" Target="consultantplus://offline/ref=BE952837B239BDAB524E27A82E0F2AAEC492FD8F6A5C01D52B27D7B71F07D9C2DFEFB7A63BD69F198DD258A7FF2B492A14D60F02AD59N2H" TargetMode = "External"/>
	<Relationship Id="rId14" Type="http://schemas.openxmlformats.org/officeDocument/2006/relationships/hyperlink" Target="consultantplus://offline/ref=BE952837B239BDAB524E27A82E0F2AAEC492FD8F6A5C01D52B27D7B71F07D9C2DFEFB7A33FD09649D59D59FBBA785A2A10D60C00B192E7A054NEH" TargetMode = "External"/>
	<Relationship Id="rId15" Type="http://schemas.openxmlformats.org/officeDocument/2006/relationships/hyperlink" Target="consultantplus://offline/ref=BE952837B239BDAB524E27A82E0F2AAEC290FA8C6B5A01D52B27D7B71F07D9C2DFEFB7A33FD09449DB9D59FBBA785A2A10D60C00B192E7A054NEH" TargetMode = "External"/>
	<Relationship Id="rId16" Type="http://schemas.openxmlformats.org/officeDocument/2006/relationships/hyperlink" Target="consultantplus://offline/ref=BE952837B239BDAB524E27A82E0F2AAEC492FD8F6A5C01D52B27D7B71F07D9C2DFEFB7A63ED59F198DD258A7FF2B492A14D60F02AD59N2H" TargetMode = "External"/>
	<Relationship Id="rId17" Type="http://schemas.openxmlformats.org/officeDocument/2006/relationships/hyperlink" Target="consultantplus://offline/ref=BE952837B239BDAB524E27A82E0F2AAEC492FE8D6B5E01D52B27D7B71F07D9C2CDEFEFAF3ED68A4CDE880FAAFC52NFH" TargetMode = "External"/>
	<Relationship Id="rId18" Type="http://schemas.openxmlformats.org/officeDocument/2006/relationships/hyperlink" Target="consultantplus://offline/ref=BE952837B239BDAB524E27A82E0F2AAEC396FF8E605E01D52B27D7B71F07D9C2DFEFB7A33FD09449DB9D59FBBA785A2A10D60C00B192E7A054NEH" TargetMode = "External"/>
	<Relationship Id="rId19" Type="http://schemas.openxmlformats.org/officeDocument/2006/relationships/hyperlink" Target="consultantplus://offline/ref=BE952837B239BDAB524E27A82E0F2AAEC397F98E6F5E01D52B27D7B71F07D9C2DFEFB7A33FD0944EDB9D59FBBA785A2A10D60C00B192E7A054NEH" TargetMode = "External"/>
	<Relationship Id="rId20" Type="http://schemas.openxmlformats.org/officeDocument/2006/relationships/hyperlink" Target="consultantplus://offline/ref=BE952837B239BDAB524E27A82E0F2AAEC396FB836A5301D52B27D7B71F07D9C2DFEFB7A33FD0954EDB9D59FBBA785A2A10D60C00B192E7A054NE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21.04.2022 N 258
"Об утверждении федерального государственного образовательного стандарта среднего профессионального образования по профессии 19.01.09 Мастер по эксплуатации, механизации, автоматизации и роботизации технологического оборудования и процессов пищевой промышленности"
(Зарегистрировано в Минюсте России 02.06.2022 N 68713)</dc:title>
  <dcterms:created xsi:type="dcterms:W3CDTF">2022-12-16T07:13:57Z</dcterms:created>
</cp:coreProperties>
</file>