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01.06.2022 N 388</w:t>
              <w:br/>
              <w:t xml:space="preserve">"Об утверждении федерального государственного образовательного стандарта среднего профессионального образования по специальности 35.02.09 Водные биоресурсы и аквакультура"</w:t>
              <w:br/>
              <w:t xml:space="preserve">(Зарегистрировано в Минюсте России 01.07.2022 N 69109)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 июля 2022 г. N 69109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 июня 2022 г. N 388</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35.02.09 ВОДНЫЕ БИОРЕСУРСЫ И АКВАКУЛЬТУРА</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35.02.09 Водные биоресурсы и аквакультура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07.05.2014 N 458 (ред. от 13.07.2021) &quot;Об утверждении федерального государственного образовательного стандарта среднего профессионального образования по специальности 35.02.09 Ихтиология и рыбоводство&quot; (Зарегистрировано в Минюсте России 19.06.2014 N 32804)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0"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35.02.09</w:t>
        </w:r>
      </w:hyperlink>
      <w:r>
        <w:rPr>
          <w:sz w:val="20"/>
        </w:rPr>
        <w:t xml:space="preserve"> Ихтиология и рыбоводство, утвержденным приказом Министерства образования и науки Российской Федерации от 7 мая 2014 г. N 458 (зарегистрирован Министерством юстиции Российской Федерации 19 июня 2014 г., регистрационный N 32804),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и приказом Министерства просвещения Российской Федерации от 13 июля 2021 г. N 450 (зарегистрирован Министерством юстиции Российской Федерации 14 октября 2021 г., регистрационный N 65410), прекращается с 31 декабря 2022 г., а при реализации образовательной организацией образовательной программы по специальности </w:t>
      </w:r>
      <w:hyperlink w:history="0" r:id="rId11" w:tooltip="Приказ Минпросвещения России от 17.05.2022 N 336 &quot;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quot;Об утверждении перечней профессий и специальностей с {КонсультантПлюс}">
        <w:r>
          <w:rPr>
            <w:sz w:val="20"/>
            <w:color w:val="0000ff"/>
          </w:rPr>
          <w:t xml:space="preserve">35.02.09</w:t>
        </w:r>
      </w:hyperlink>
      <w:r>
        <w:rPr>
          <w:sz w:val="20"/>
        </w:rPr>
        <w:t xml:space="preserve"> Водные биоресурсы и аквакультура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проводимого в соответствии с </w:t>
      </w:r>
      <w:hyperlink w:history="0" r:id="rId12"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постановлением</w:t>
        </w:r>
      </w:hyperlink>
      <w:r>
        <w:rPr>
          <w:sz w:val="20"/>
        </w:rPr>
        <w:t xml:space="preserve"> Правительства Российской Федерации от 16 марта 2022 г. N 387 (Собрание законодательства Российской Федерации, 2022, N 12, ст. 1871), - с 1 августа 2022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 июня 2022 г. N 388</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35.02.09 ВОДНЫЕ БИОРЕСУРСЫ И АКВАКУЛЬТУРА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40" w:name="P40"/>
    <w:bookmarkEnd w:id="40"/>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35.02.09</w:t>
        </w:r>
      </w:hyperlink>
      <w:r>
        <w:rPr>
          <w:sz w:val="20"/>
        </w:rPr>
        <w:t xml:space="preserve"> Водные биоресурсы и аквакультура (далее соответственно - ФГОС СПО, образовательная программа, специальность) в соответствии с квалификацией специалиста среднего звена "техник".</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w:t>
      </w:r>
      <w:hyperlink w:history="0" r:id="rId14"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стандарта</w:t>
        </w:r>
      </w:hyperlink>
      <w:r>
        <w:rPr>
          <w:sz w:val="20"/>
        </w:rPr>
        <w:t xml:space="preserve"> среднего общего образования &lt;1&gt; и ФГОС СПО с учетом получаемой специальности.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государственный образовательный </w:t>
      </w:r>
      <w:hyperlink w:history="0" r:id="rId15"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w:t>
        </w:r>
      </w:hyperlink>
      <w:r>
        <w:rPr>
          <w:sz w:val="20"/>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и от 11 декабря 2020 г. N 712 (зарегистрирован Министерством юстиции Российской Федерации 25 декабря 2020 г., регистрационный N 61828).</w:t>
      </w:r>
    </w:p>
    <w:p>
      <w:pPr>
        <w:pStyle w:val="0"/>
        <w:jc w:val="both"/>
      </w:pPr>
      <w:r>
        <w:rPr>
          <w:sz w:val="20"/>
        </w:rPr>
      </w:r>
    </w:p>
    <w:p>
      <w:pPr>
        <w:pStyle w:val="0"/>
        <w:ind w:firstLine="540"/>
        <w:jc w:val="both"/>
      </w:pPr>
      <w:r>
        <w:rPr>
          <w:sz w:val="20"/>
        </w:rPr>
        <w:t xml:space="preserve">1.4. Обучение по образовательной программе в образовательной организации осуществляется в очной и заочной формах обучения.</w:t>
      </w:r>
    </w:p>
    <w:p>
      <w:pPr>
        <w:pStyle w:val="0"/>
        <w:spacing w:before="200" w:line-rule="auto"/>
        <w:ind w:firstLine="540"/>
        <w:jc w:val="both"/>
      </w:pPr>
      <w:r>
        <w:rPr>
          <w:sz w:val="20"/>
        </w:rPr>
        <w:t xml:space="preserve">1.5.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1.6.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1.7.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соответствующую примерную основную образовательную программу, включенную в реестр примерных основных образовательных программ (далее - ПООП) примерной рабочей программы воспитания и примерного календарного </w:t>
      </w:r>
      <w:hyperlink w:history="0" r:id="rId16"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плана</w:t>
        </w:r>
      </w:hyperlink>
      <w:r>
        <w:rPr>
          <w:sz w:val="20"/>
        </w:rPr>
        <w:t xml:space="preserve"> воспитательной работы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7" w:tooltip="Федеральный закон от 29.12.2012 N 273-ФЗ (ред. от 05.12.2022) &quot;Об образовании в Российской Федерации&quot;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r>
    </w:p>
    <w:p>
      <w:pPr>
        <w:pStyle w:val="0"/>
        <w:ind w:firstLine="540"/>
        <w:jc w:val="both"/>
      </w:pPr>
      <w:r>
        <w:rPr>
          <w:sz w:val="20"/>
        </w:rPr>
        <w:t xml:space="preserve">1.8.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8"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bookmarkStart w:id="59" w:name="P59"/>
    <w:bookmarkEnd w:id="59"/>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- 1 год 10 месяцев;</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заочной форме,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1.10.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1.11. Конкретный срок получения образования в заочной форме обучения, а также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w:t>
      </w:r>
      <w:hyperlink w:history="0" w:anchor="P59" w:tooltip="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
        <w:r>
          <w:rPr>
            <w:sz w:val="20"/>
            <w:color w:val="0000ff"/>
          </w:rPr>
          <w:t xml:space="preserve">пунктом 1.9</w:t>
        </w:r>
      </w:hyperlink>
      <w:r>
        <w:rPr>
          <w:sz w:val="20"/>
        </w:rPr>
        <w:t xml:space="preserve"> ФГОС СПО.</w:t>
      </w:r>
    </w:p>
    <w:p>
      <w:pPr>
        <w:pStyle w:val="0"/>
        <w:spacing w:before="200" w:line-rule="auto"/>
        <w:ind w:firstLine="540"/>
        <w:jc w:val="both"/>
      </w:pPr>
      <w:r>
        <w:rPr>
          <w:sz w:val="20"/>
        </w:rPr>
        <w:t xml:space="preserve">1.12.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1.13.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настоящим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9"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r>
    </w:p>
    <w:bookmarkStart w:id="70" w:name="P70"/>
    <w:bookmarkEnd w:id="70"/>
    <w:p>
      <w:pPr>
        <w:pStyle w:val="0"/>
        <w:ind w:firstLine="540"/>
        <w:jc w:val="both"/>
      </w:pPr>
      <w:r>
        <w:rPr>
          <w:sz w:val="20"/>
        </w:rPr>
        <w:t xml:space="preserve">1.14.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2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15</w:t>
        </w:r>
      </w:hyperlink>
      <w:r>
        <w:rPr>
          <w:sz w:val="20"/>
        </w:rPr>
        <w:t xml:space="preserve"> Рыбоводство и рыболовство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pPr>
        <w:pStyle w:val="0"/>
        <w:spacing w:before="200" w:line-rule="auto"/>
        <w:ind w:firstLine="540"/>
        <w:jc w:val="both"/>
      </w:pPr>
      <w:r>
        <w:rPr>
          <w:sz w:val="20"/>
        </w:rPr>
        <w:t xml:space="preserve">1.15. При разработке образовательной программы организация устанавливает направленность, которая соответствует специальности в целом, с учетом соответствующей ПООП.</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и объем образовательной программы </w:t>
      </w:r>
      <w:hyperlink w:history="0" w:anchor="P86" w:tooltip="Структура и объем образовательной программы">
        <w:r>
          <w:rPr>
            <w:sz w:val="20"/>
            <w:color w:val="0000ff"/>
          </w:rPr>
          <w:t xml:space="preserve">(таблица N 1)</w:t>
        </w:r>
      </w:hyperlink>
      <w:r>
        <w:rPr>
          <w:sz w:val="20"/>
        </w:rPr>
        <w:t xml:space="preserve"> включает:</w:t>
      </w:r>
    </w:p>
    <w:p>
      <w:pPr>
        <w:pStyle w:val="0"/>
        <w:spacing w:before="200" w:line-rule="auto"/>
        <w:ind w:firstLine="540"/>
        <w:jc w:val="both"/>
      </w:pPr>
      <w:r>
        <w:rPr>
          <w:sz w:val="20"/>
        </w:rPr>
        <w:t xml:space="preserve">дисциплины (модули);</w:t>
      </w:r>
    </w:p>
    <w:p>
      <w:pPr>
        <w:pStyle w:val="0"/>
        <w:spacing w:before="200" w:line-rule="auto"/>
        <w:ind w:firstLine="540"/>
        <w:jc w:val="both"/>
      </w:pPr>
      <w:r>
        <w:rPr>
          <w:sz w:val="20"/>
        </w:rPr>
        <w:t xml:space="preserve">практику;</w:t>
      </w:r>
    </w:p>
    <w:p>
      <w:pPr>
        <w:pStyle w:val="0"/>
        <w:spacing w:before="200" w:line-rule="auto"/>
        <w:ind w:firstLine="540"/>
        <w:jc w:val="both"/>
      </w:pPr>
      <w:r>
        <w:rPr>
          <w:sz w:val="20"/>
        </w:rPr>
        <w:t xml:space="preserve">государственную итоговую аттестацию.</w:t>
      </w:r>
    </w:p>
    <w:p>
      <w:pPr>
        <w:pStyle w:val="0"/>
        <w:jc w:val="both"/>
      </w:pPr>
      <w:r>
        <w:rPr>
          <w:sz w:val="20"/>
        </w:rPr>
      </w:r>
    </w:p>
    <w:p>
      <w:pPr>
        <w:pStyle w:val="0"/>
        <w:jc w:val="right"/>
      </w:pPr>
      <w:r>
        <w:rPr>
          <w:sz w:val="20"/>
        </w:rPr>
        <w:t xml:space="preserve">Таблица N 1</w:t>
      </w:r>
    </w:p>
    <w:p>
      <w:pPr>
        <w:pStyle w:val="0"/>
        <w:jc w:val="both"/>
      </w:pPr>
      <w:r>
        <w:rPr>
          <w:sz w:val="20"/>
        </w:rPr>
      </w:r>
    </w:p>
    <w:bookmarkStart w:id="86" w:name="P86"/>
    <w:bookmarkEnd w:id="86"/>
    <w:p>
      <w:pPr>
        <w:pStyle w:val="0"/>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99"/>
        <w:gridCol w:w="3572"/>
      </w:tblGrid>
      <w:tr>
        <w:tc>
          <w:tcPr>
            <w:tcW w:w="5499" w:type="dxa"/>
          </w:tcPr>
          <w:p>
            <w:pPr>
              <w:pStyle w:val="0"/>
              <w:jc w:val="center"/>
            </w:pPr>
            <w:r>
              <w:rPr>
                <w:sz w:val="20"/>
              </w:rPr>
              <w:t xml:space="preserve">Структура образовательной программы</w:t>
            </w:r>
          </w:p>
        </w:tc>
        <w:tc>
          <w:tcPr>
            <w:tcW w:w="3572" w:type="dxa"/>
          </w:tcPr>
          <w:p>
            <w:pPr>
              <w:pStyle w:val="0"/>
              <w:jc w:val="center"/>
            </w:pPr>
            <w:r>
              <w:rPr>
                <w:sz w:val="20"/>
              </w:rPr>
              <w:t xml:space="preserve">Объем образовательной программы, в академических часах</w:t>
            </w:r>
          </w:p>
        </w:tc>
      </w:tr>
      <w:tr>
        <w:tc>
          <w:tcPr>
            <w:tcW w:w="5499" w:type="dxa"/>
          </w:tcPr>
          <w:p>
            <w:pPr>
              <w:pStyle w:val="0"/>
            </w:pPr>
            <w:r>
              <w:rPr>
                <w:sz w:val="20"/>
              </w:rPr>
              <w:t xml:space="preserve">Дисциплины (модули)</w:t>
            </w:r>
          </w:p>
        </w:tc>
        <w:tc>
          <w:tcPr>
            <w:tcW w:w="3572" w:type="dxa"/>
          </w:tcPr>
          <w:p>
            <w:pPr>
              <w:pStyle w:val="0"/>
              <w:jc w:val="center"/>
            </w:pPr>
            <w:r>
              <w:rPr>
                <w:sz w:val="20"/>
              </w:rPr>
              <w:t xml:space="preserve">Не менее 1476</w:t>
            </w:r>
          </w:p>
        </w:tc>
      </w:tr>
      <w:tr>
        <w:tc>
          <w:tcPr>
            <w:tcW w:w="5499" w:type="dxa"/>
          </w:tcPr>
          <w:p>
            <w:pPr>
              <w:pStyle w:val="0"/>
            </w:pPr>
            <w:r>
              <w:rPr>
                <w:sz w:val="20"/>
              </w:rPr>
              <w:t xml:space="preserve">Практика</w:t>
            </w:r>
          </w:p>
        </w:tc>
        <w:tc>
          <w:tcPr>
            <w:tcW w:w="3572" w:type="dxa"/>
          </w:tcPr>
          <w:p>
            <w:pPr>
              <w:pStyle w:val="0"/>
              <w:jc w:val="center"/>
            </w:pPr>
            <w:r>
              <w:rPr>
                <w:sz w:val="20"/>
              </w:rPr>
              <w:t xml:space="preserve">Не менее 432</w:t>
            </w:r>
          </w:p>
        </w:tc>
      </w:tr>
      <w:tr>
        <w:tc>
          <w:tcPr>
            <w:tcW w:w="5499" w:type="dxa"/>
          </w:tcPr>
          <w:p>
            <w:pPr>
              <w:pStyle w:val="0"/>
            </w:pPr>
            <w:r>
              <w:rPr>
                <w:sz w:val="20"/>
              </w:rPr>
              <w:t xml:space="preserve">Государственная итоговая аттестация</w:t>
            </w:r>
          </w:p>
        </w:tc>
        <w:tc>
          <w:tcPr>
            <w:tcW w:w="3572" w:type="dxa"/>
          </w:tcPr>
          <w:p>
            <w:pPr>
              <w:pStyle w:val="0"/>
              <w:jc w:val="center"/>
            </w:pPr>
            <w:r>
              <w:rPr>
                <w:sz w:val="20"/>
              </w:rPr>
              <w:t xml:space="preserve">216</w:t>
            </w:r>
          </w:p>
        </w:tc>
      </w:tr>
      <w:tr>
        <w:tc>
          <w:tcPr>
            <w:gridSpan w:val="2"/>
            <w:tcW w:w="9071" w:type="dxa"/>
          </w:tcPr>
          <w:p>
            <w:pPr>
              <w:pStyle w:val="0"/>
              <w:jc w:val="center"/>
            </w:pPr>
            <w:r>
              <w:rPr>
                <w:sz w:val="20"/>
              </w:rPr>
              <w:t xml:space="preserve">Общий объем образовательной программы:</w:t>
            </w:r>
          </w:p>
        </w:tc>
      </w:tr>
      <w:tr>
        <w:tc>
          <w:tcPr>
            <w:tcW w:w="5499" w:type="dxa"/>
          </w:tcPr>
          <w:p>
            <w:pPr>
              <w:pStyle w:val="0"/>
            </w:pPr>
            <w:r>
              <w:rPr>
                <w:sz w:val="20"/>
              </w:rPr>
              <w:t xml:space="preserve">на базе среднего общего образования</w:t>
            </w:r>
          </w:p>
        </w:tc>
        <w:tc>
          <w:tcPr>
            <w:tcW w:w="3572" w:type="dxa"/>
          </w:tcPr>
          <w:p>
            <w:pPr>
              <w:pStyle w:val="0"/>
              <w:jc w:val="center"/>
            </w:pPr>
            <w:r>
              <w:rPr>
                <w:sz w:val="20"/>
              </w:rPr>
              <w:t xml:space="preserve">2952</w:t>
            </w:r>
          </w:p>
        </w:tc>
      </w:tr>
      <w:tr>
        <w:tc>
          <w:tcPr>
            <w:tcW w:w="5499"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572"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2.2. Образовательная программа включает циклы:</w:t>
      </w:r>
    </w:p>
    <w:p>
      <w:pPr>
        <w:pStyle w:val="0"/>
        <w:spacing w:before="200" w:line-rule="auto"/>
        <w:ind w:firstLine="540"/>
        <w:jc w:val="both"/>
      </w:pPr>
      <w:r>
        <w:rPr>
          <w:sz w:val="20"/>
        </w:rPr>
        <w:t xml:space="preserve">социально-гуманитарный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2.3. В рамках образовательной программы выделяются обязательная часть и часть, формируемая участниками образовательных отношений (вариативная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2" w:tooltip="III. ТРЕБОВАНИЯ К РЕЗУЛЬТАТАМ ОСВОЕНИЯ">
        <w:r>
          <w:rPr>
            <w:sz w:val="20"/>
            <w:color w:val="0000ff"/>
          </w:rPr>
          <w:t xml:space="preserve">главой III</w:t>
        </w:r>
      </w:hyperlink>
      <w:r>
        <w:rPr>
          <w:sz w:val="20"/>
        </w:rPr>
        <w:t xml:space="preserve"> ФГОС СПО.</w:t>
      </w:r>
    </w:p>
    <w:p>
      <w:pPr>
        <w:pStyle w:val="0"/>
        <w:spacing w:before="200" w:line-rule="auto"/>
        <w:ind w:firstLine="540"/>
        <w:jc w:val="both"/>
      </w:pPr>
      <w:r>
        <w:rPr>
          <w:sz w:val="20"/>
        </w:rPr>
        <w:t xml:space="preserve">Объем обязательной части без учета объема государственной итоговой аттестации должен составлять не более 70 процентов от общего объема времени, отведенного на освоение образовательной программы.</w:t>
      </w:r>
    </w:p>
    <w:p>
      <w:pPr>
        <w:pStyle w:val="0"/>
        <w:spacing w:before="200" w:line-rule="auto"/>
        <w:ind w:firstLine="540"/>
        <w:jc w:val="both"/>
      </w:pPr>
      <w:r>
        <w:rPr>
          <w:sz w:val="20"/>
        </w:rPr>
        <w:t xml:space="preserve">Вариативная часть образовательной программы объемом не менее 30 процентов от общего объема времени, отведенного на освоение образовательной программы, дает возможность дальнейшего развития общих и профессиональных компетенций, в том числе за счет расширения видов деятельности, введения дополнительных видов деятельности, а также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w:t>
      </w:r>
    </w:p>
    <w:p>
      <w:pPr>
        <w:pStyle w:val="0"/>
        <w:spacing w:before="200" w:line-rule="auto"/>
        <w:ind w:firstLine="540"/>
        <w:jc w:val="both"/>
      </w:pPr>
      <w:r>
        <w:rPr>
          <w:sz w:val="20"/>
        </w:rPr>
        <w:t xml:space="preserve">Конкретное соотношение обязательной и вариативной части образовательной программы, объемные параметры циклов и практики образовательная организация определяет самостоятельно в соответствии с требованиями настоящего пункта, а также с учетом ПООП.</w:t>
      </w:r>
    </w:p>
    <w:bookmarkStart w:id="111" w:name="P111"/>
    <w:bookmarkEnd w:id="111"/>
    <w:p>
      <w:pPr>
        <w:pStyle w:val="0"/>
        <w:spacing w:before="200" w:line-rule="auto"/>
        <w:ind w:firstLine="540"/>
        <w:jc w:val="both"/>
      </w:pPr>
      <w:r>
        <w:rPr>
          <w:sz w:val="20"/>
        </w:rPr>
        <w:t xml:space="preserve">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w:t>
      </w:r>
    </w:p>
    <w:p>
      <w:pPr>
        <w:pStyle w:val="0"/>
        <w:spacing w:before="200" w:line-rule="auto"/>
        <w:ind w:firstLine="540"/>
        <w:jc w:val="both"/>
      </w:pPr>
      <w:r>
        <w:rPr>
          <w:sz w:val="20"/>
        </w:rPr>
        <w:t xml:space="preserve">контроль водных биологических ресурсов и среды их обитания;</w:t>
      </w:r>
    </w:p>
    <w:p>
      <w:pPr>
        <w:pStyle w:val="0"/>
        <w:spacing w:before="200" w:line-rule="auto"/>
        <w:ind w:firstLine="540"/>
        <w:jc w:val="both"/>
      </w:pPr>
      <w:r>
        <w:rPr>
          <w:sz w:val="20"/>
        </w:rPr>
        <w:t xml:space="preserve">технологическое обеспечение процессов воспроизводства и выращивания рыбы и других гидробионтов;</w:t>
      </w:r>
    </w:p>
    <w:p>
      <w:pPr>
        <w:pStyle w:val="0"/>
        <w:spacing w:before="200" w:line-rule="auto"/>
        <w:ind w:firstLine="540"/>
        <w:jc w:val="both"/>
      </w:pPr>
      <w:r>
        <w:rPr>
          <w:sz w:val="20"/>
        </w:rPr>
        <w:t xml:space="preserve">охрана водных биоресурсов и среды их обитания;</w:t>
      </w:r>
    </w:p>
    <w:p>
      <w:pPr>
        <w:pStyle w:val="0"/>
        <w:spacing w:before="200" w:line-rule="auto"/>
        <w:ind w:firstLine="540"/>
        <w:jc w:val="both"/>
      </w:pPr>
      <w:r>
        <w:rPr>
          <w:sz w:val="20"/>
        </w:rPr>
        <w:t xml:space="preserve">проведение ихтиологических исследований;</w:t>
      </w:r>
    </w:p>
    <w:p>
      <w:pPr>
        <w:pStyle w:val="0"/>
        <w:spacing w:before="200" w:line-rule="auto"/>
        <w:ind w:firstLine="540"/>
        <w:jc w:val="both"/>
      </w:pPr>
      <w:r>
        <w:rPr>
          <w:sz w:val="20"/>
        </w:rPr>
        <w:t xml:space="preserve">управление работой структурного подразделения предприятия аквакультуры.</w:t>
      </w:r>
    </w:p>
    <w:p>
      <w:pPr>
        <w:pStyle w:val="0"/>
        <w:spacing w:before="200" w:line-rule="auto"/>
        <w:ind w:firstLine="540"/>
        <w:jc w:val="both"/>
      </w:pPr>
      <w:r>
        <w:rPr>
          <w:sz w:val="20"/>
        </w:rPr>
        <w:t xml:space="preserve">2.5. Образовательная организация при необходимости самостоятельно формирует виды деятельности в дополнение к видам деятельности, указанным в </w:t>
      </w:r>
      <w:hyperlink w:history="0" w:anchor="P111"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
        <w:r>
          <w:rPr>
            <w:sz w:val="20"/>
            <w:color w:val="0000ff"/>
          </w:rPr>
          <w:t xml:space="preserve">пункте 2.4</w:t>
        </w:r>
      </w:hyperlink>
      <w:r>
        <w:rPr>
          <w:sz w:val="20"/>
        </w:rPr>
        <w:t xml:space="preserve"> ФГОС СПО, в рамках вариативной части.</w:t>
      </w:r>
    </w:p>
    <w:p>
      <w:pPr>
        <w:pStyle w:val="0"/>
        <w:spacing w:before="200" w:line-rule="auto"/>
        <w:ind w:firstLine="540"/>
        <w:jc w:val="both"/>
      </w:pPr>
      <w:r>
        <w:rPr>
          <w:sz w:val="20"/>
        </w:rPr>
        <w:t xml:space="preserve">2.6. При освоении социально-гуманитарного, общепрофессионального и профессионального циклов (далее - учебные циклы) выделяется объем учебных занятий, практики (в профессиональном цикле) и самостоятельной работы.</w:t>
      </w:r>
    </w:p>
    <w:p>
      <w:pPr>
        <w:pStyle w:val="0"/>
        <w:spacing w:before="200" w:line-rule="auto"/>
        <w:ind w:firstLine="540"/>
        <w:jc w:val="both"/>
      </w:pPr>
      <w:r>
        <w:rPr>
          <w:sz w:val="20"/>
        </w:rPr>
        <w:t xml:space="preserve">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10 процентов - в заочной форме обучения.</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2.7. Обязательная часть социально-гуманитарного цикла образовательной программы должна 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"Основы бережливого производства".</w:t>
      </w:r>
    </w:p>
    <w:p>
      <w:pPr>
        <w:pStyle w:val="0"/>
        <w:spacing w:before="200" w:line-rule="auto"/>
        <w:ind w:firstLine="540"/>
        <w:jc w:val="both"/>
      </w:pPr>
      <w:r>
        <w:rPr>
          <w:sz w:val="20"/>
        </w:rPr>
        <w:t xml:space="preserve">Общий объем дисциплины "Безопасность жизнедеятельности" в очной форме обучения не может быть менее 68 академических часов, из них на освоение основ военной службы (для юношей) - не менее 48 академических часов; для подгрупп девушек это время может быть использовано на освоение основ медицинских знаний.</w:t>
      </w:r>
    </w:p>
    <w:p>
      <w:pPr>
        <w:pStyle w:val="0"/>
        <w:spacing w:before="200" w:line-rule="auto"/>
        <w:ind w:firstLine="540"/>
        <w:jc w:val="both"/>
      </w:pPr>
      <w:r>
        <w:rPr>
          <w:sz w:val="20"/>
        </w:rPr>
        <w:t xml:space="preserve">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2.8. Обязательная часть общепрофессионального цикла образовательной программы должна предусматривать изучение следующих дисциплин: "Математические методы решения прикладных профессиональных задач", "Информационные технологии в профессиональной деятельности", "Экологические основы природопользования", "Геодезия с основами черчения", "Основы аналитической химии и биохимии", "Микробиология, санитария и гигиена", "Охрана труда", "Зоология беспозвоночных".</w:t>
      </w:r>
    </w:p>
    <w:p>
      <w:pPr>
        <w:pStyle w:val="0"/>
        <w:spacing w:before="200" w:line-rule="auto"/>
        <w:ind w:firstLine="540"/>
        <w:jc w:val="both"/>
      </w:pPr>
      <w:r>
        <w:rPr>
          <w:sz w:val="20"/>
        </w:rPr>
        <w:t xml:space="preserve">2.9. Профессиональный цикл образовательной программы включает профессиональные модули, которые формируются в соответствии с видами деятельности, предусмотренными </w:t>
      </w:r>
      <w:hyperlink w:history="0" w:anchor="P111"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
        <w:r>
          <w:rPr>
            <w:sz w:val="20"/>
            <w:color w:val="0000ff"/>
          </w:rPr>
          <w:t xml:space="preserve">пунктом 2.4</w:t>
        </w:r>
      </w:hyperlink>
      <w:r>
        <w:rPr>
          <w:sz w:val="20"/>
        </w:rPr>
        <w:t xml:space="preserve"> ФГОС СПО, а также дополнительными видами деятельности, сформированными образовательными организациями самостоятельно. В состав профессионального модуля входит один или несколько междисциплинарных курсов, которые устанавливаются образовательной организацией самостоятельно с учетом ПООП. Объем профессионального модуля составляет не менее 4 зачетных единиц.</w:t>
      </w:r>
    </w:p>
    <w:p>
      <w:pPr>
        <w:pStyle w:val="0"/>
        <w:spacing w:before="200" w:line-rule="auto"/>
        <w:ind w:firstLine="540"/>
        <w:jc w:val="both"/>
      </w:pPr>
      <w:r>
        <w:rPr>
          <w:sz w:val="20"/>
        </w:rPr>
        <w:t xml:space="preserve">2.10. 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рассредоточенно, чередуясь с учебными занятиями. Типы практики устанавливаются образовательной организацией самостоятельно с учетом ПООП.</w:t>
      </w:r>
    </w:p>
    <w:p>
      <w:pPr>
        <w:pStyle w:val="0"/>
        <w:spacing w:before="200" w:line-rule="auto"/>
        <w:ind w:firstLine="540"/>
        <w:jc w:val="both"/>
      </w:pPr>
      <w:r>
        <w:rPr>
          <w:sz w:val="20"/>
        </w:rPr>
        <w:t xml:space="preserve">2.11.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2.12. Государственная итоговая аттестация проводится в форме демонстрационного экзамена и защиты дипломного проекта (работы).</w:t>
      </w:r>
    </w:p>
    <w:p>
      <w:pPr>
        <w:pStyle w:val="0"/>
        <w:spacing w:before="200" w:line-rule="auto"/>
        <w:ind w:firstLine="540"/>
        <w:jc w:val="both"/>
      </w:pPr>
      <w:r>
        <w:rPr>
          <w:sz w:val="20"/>
        </w:rPr>
        <w:t xml:space="preserve">2.13. Государственная итоговая аттестация завершается присвоением квалификации специалиста среднего звена, указанной в </w:t>
      </w:r>
      <w:hyperlink w:history="0" w:anchor="P40" w:tooltip="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35.02.09 Водные биоресурсы и аквакультура (далее соответственно - ФГОС СПО, образовательная программа, специальность) в соответствии с квалификацией специалиста среднего звена &quot;техник&quot;.">
        <w:r>
          <w:rPr>
            <w:sz w:val="20"/>
            <w:color w:val="0000ff"/>
          </w:rPr>
          <w:t xml:space="preserve">пункте 1.1</w:t>
        </w:r>
      </w:hyperlink>
      <w:r>
        <w:rPr>
          <w:sz w:val="20"/>
        </w:rPr>
        <w:t xml:space="preserve"> ФГОС СПО.</w:t>
      </w:r>
    </w:p>
    <w:p>
      <w:pPr>
        <w:pStyle w:val="0"/>
        <w:jc w:val="both"/>
      </w:pPr>
      <w:r>
        <w:rPr>
          <w:sz w:val="20"/>
        </w:rPr>
      </w:r>
    </w:p>
    <w:bookmarkStart w:id="132" w:name="P132"/>
    <w:bookmarkEnd w:id="132"/>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3.3. Выпускник, освоивший образовательную программу, должен обладать профессиональными компетенциями (далее - ПК), соответствующими видам деятельности (таблица N 2), предусмотренным </w:t>
      </w:r>
      <w:hyperlink w:history="0" w:anchor="P111"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
        <w:r>
          <w:rPr>
            <w:sz w:val="20"/>
            <w:color w:val="0000ff"/>
          </w:rPr>
          <w:t xml:space="preserve">пунктом 2.4</w:t>
        </w:r>
      </w:hyperlink>
      <w:r>
        <w:rPr>
          <w:sz w:val="20"/>
        </w:rPr>
        <w:t xml:space="preserve"> ФГОС СПО, сформированными в том числе на основе профессиональных стандартов (при наличии), указанных в ПООП:</w:t>
      </w:r>
    </w:p>
    <w:p>
      <w:pPr>
        <w:pStyle w:val="0"/>
        <w:jc w:val="both"/>
      </w:pPr>
      <w:r>
        <w:rPr>
          <w:sz w:val="20"/>
        </w:rPr>
      </w:r>
    </w:p>
    <w:p>
      <w:pPr>
        <w:pStyle w:val="0"/>
        <w:jc w:val="right"/>
      </w:pPr>
      <w:r>
        <w:rPr>
          <w:sz w:val="20"/>
        </w:rPr>
        <w:t xml:space="preserve">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90"/>
      </w:tblGrid>
      <w:tr>
        <w:tc>
          <w:tcPr>
            <w:tcW w:w="2381" w:type="dxa"/>
          </w:tcPr>
          <w:p>
            <w:pPr>
              <w:pStyle w:val="0"/>
              <w:jc w:val="center"/>
            </w:pPr>
            <w:r>
              <w:rPr>
                <w:sz w:val="20"/>
              </w:rPr>
              <w:t xml:space="preserve">Виды деятельности</w:t>
            </w:r>
          </w:p>
        </w:tc>
        <w:tc>
          <w:tcPr>
            <w:tcW w:w="6690" w:type="dxa"/>
          </w:tcPr>
          <w:p>
            <w:pPr>
              <w:pStyle w:val="0"/>
              <w:jc w:val="center"/>
            </w:pPr>
            <w:r>
              <w:rPr>
                <w:sz w:val="20"/>
              </w:rPr>
              <w:t xml:space="preserve">Профессиональные компетенции, соответствующие видам деятельности</w:t>
            </w:r>
          </w:p>
        </w:tc>
      </w:tr>
      <w:tr>
        <w:tc>
          <w:tcPr>
            <w:tcW w:w="2381" w:type="dxa"/>
          </w:tcPr>
          <w:p>
            <w:pPr>
              <w:pStyle w:val="0"/>
              <w:jc w:val="center"/>
            </w:pPr>
            <w:r>
              <w:rPr>
                <w:sz w:val="20"/>
              </w:rPr>
              <w:t xml:space="preserve">1</w:t>
            </w:r>
          </w:p>
        </w:tc>
        <w:tc>
          <w:tcPr>
            <w:tcW w:w="6690" w:type="dxa"/>
          </w:tcPr>
          <w:p>
            <w:pPr>
              <w:pStyle w:val="0"/>
              <w:jc w:val="center"/>
            </w:pPr>
            <w:r>
              <w:rPr>
                <w:sz w:val="20"/>
              </w:rPr>
              <w:t xml:space="preserve">2</w:t>
            </w:r>
          </w:p>
        </w:tc>
      </w:tr>
      <w:tr>
        <w:tc>
          <w:tcPr>
            <w:tcW w:w="2381" w:type="dxa"/>
          </w:tcPr>
          <w:p>
            <w:pPr>
              <w:pStyle w:val="0"/>
            </w:pPr>
            <w:r>
              <w:rPr>
                <w:sz w:val="20"/>
              </w:rPr>
              <w:t xml:space="preserve">контроль водных биологических ресурсов и среды их обитания</w:t>
            </w:r>
          </w:p>
        </w:tc>
        <w:tc>
          <w:tcPr>
            <w:tcW w:w="6690" w:type="dxa"/>
          </w:tcPr>
          <w:p>
            <w:pPr>
              <w:pStyle w:val="0"/>
              <w:jc w:val="both"/>
            </w:pPr>
            <w:r>
              <w:rPr>
                <w:sz w:val="20"/>
              </w:rPr>
              <w:t xml:space="preserve">ПК 1.1. Проводить гидрологические и гидрохимические наблюдения на рыбохозяйственных водоемах.</w:t>
            </w:r>
          </w:p>
          <w:p>
            <w:pPr>
              <w:pStyle w:val="0"/>
              <w:jc w:val="both"/>
            </w:pPr>
            <w:r>
              <w:rPr>
                <w:sz w:val="20"/>
              </w:rPr>
              <w:t xml:space="preserve">ПК 1.2. Отбирать и обрабатывать гидробиологические и гидрохимические пробы.</w:t>
            </w:r>
          </w:p>
          <w:p>
            <w:pPr>
              <w:pStyle w:val="0"/>
              <w:jc w:val="both"/>
            </w:pPr>
            <w:r>
              <w:rPr>
                <w:sz w:val="20"/>
              </w:rPr>
              <w:t xml:space="preserve">ПК 1.3. Собирать, обрабатывать и анализировать ихтиологические материалы.</w:t>
            </w:r>
          </w:p>
          <w:p>
            <w:pPr>
              <w:pStyle w:val="0"/>
              <w:jc w:val="both"/>
            </w:pPr>
            <w:r>
              <w:rPr>
                <w:sz w:val="20"/>
              </w:rPr>
              <w:t xml:space="preserve">ПК 1.4. Оценивать состояние ихтиофауны.</w:t>
            </w:r>
          </w:p>
          <w:p>
            <w:pPr>
              <w:pStyle w:val="0"/>
              <w:jc w:val="both"/>
            </w:pPr>
            <w:r>
              <w:rPr>
                <w:sz w:val="20"/>
              </w:rPr>
              <w:t xml:space="preserve">ПК 1.5. Контролировать параметры рыбоводных технологических процессов.</w:t>
            </w:r>
          </w:p>
        </w:tc>
      </w:tr>
      <w:tr>
        <w:tc>
          <w:tcPr>
            <w:tcW w:w="2381" w:type="dxa"/>
          </w:tcPr>
          <w:p>
            <w:pPr>
              <w:pStyle w:val="0"/>
            </w:pPr>
            <w:r>
              <w:rPr>
                <w:sz w:val="20"/>
              </w:rPr>
              <w:t xml:space="preserve">технологическое обеспечение процессов воспроизводства и выращивания рыбы и других гидробионтов</w:t>
            </w:r>
          </w:p>
        </w:tc>
        <w:tc>
          <w:tcPr>
            <w:tcW w:w="6690" w:type="dxa"/>
          </w:tcPr>
          <w:p>
            <w:pPr>
              <w:pStyle w:val="0"/>
              <w:jc w:val="both"/>
            </w:pPr>
            <w:r>
              <w:rPr>
                <w:sz w:val="20"/>
              </w:rPr>
              <w:t xml:space="preserve">ПК 2.1. Формировать, содержать и эксплуатировать ремонтно-маточное стадо.</w:t>
            </w:r>
          </w:p>
          <w:p>
            <w:pPr>
              <w:pStyle w:val="0"/>
              <w:jc w:val="both"/>
            </w:pPr>
            <w:r>
              <w:rPr>
                <w:sz w:val="20"/>
              </w:rPr>
              <w:t xml:space="preserve">ПК 2.2. Выращивать посадочный материал и товарную продукцию.</w:t>
            </w:r>
          </w:p>
          <w:p>
            <w:pPr>
              <w:pStyle w:val="0"/>
              <w:jc w:val="both"/>
            </w:pPr>
            <w:r>
              <w:rPr>
                <w:sz w:val="20"/>
              </w:rPr>
              <w:t xml:space="preserve">ПК 2.3. Поддерживать оптимальные параметры рыбоводных технологических процессов.</w:t>
            </w:r>
          </w:p>
          <w:p>
            <w:pPr>
              <w:pStyle w:val="0"/>
              <w:jc w:val="both"/>
            </w:pPr>
            <w:r>
              <w:rPr>
                <w:sz w:val="20"/>
              </w:rPr>
              <w:t xml:space="preserve">ПК 2.4. Проводить диагностику, терапию и профилактику заболеваний объектов аквакультуры.</w:t>
            </w:r>
          </w:p>
          <w:p>
            <w:pPr>
              <w:pStyle w:val="0"/>
              <w:jc w:val="both"/>
            </w:pPr>
            <w:r>
              <w:rPr>
                <w:sz w:val="20"/>
              </w:rPr>
              <w:t xml:space="preserve">ПК 2.5. Эксплуатировать гидротехнические сооружения.</w:t>
            </w:r>
          </w:p>
        </w:tc>
      </w:tr>
      <w:tr>
        <w:tc>
          <w:tcPr>
            <w:tcW w:w="2381" w:type="dxa"/>
          </w:tcPr>
          <w:p>
            <w:pPr>
              <w:pStyle w:val="0"/>
            </w:pPr>
            <w:r>
              <w:rPr>
                <w:sz w:val="20"/>
              </w:rPr>
              <w:t xml:space="preserve">охрана водных биоресурсов и среды их обитания</w:t>
            </w:r>
          </w:p>
        </w:tc>
        <w:tc>
          <w:tcPr>
            <w:tcW w:w="6690" w:type="dxa"/>
          </w:tcPr>
          <w:p>
            <w:pPr>
              <w:pStyle w:val="0"/>
              <w:jc w:val="both"/>
            </w:pPr>
            <w:r>
              <w:rPr>
                <w:sz w:val="20"/>
              </w:rPr>
              <w:t xml:space="preserve">ПК 3.1. Выполнять работы по поддержанию численности и рациональному использованию водных биоресурсов в рыбохозяйственных водоемах.</w:t>
            </w:r>
          </w:p>
          <w:p>
            <w:pPr>
              <w:pStyle w:val="0"/>
              <w:jc w:val="both"/>
            </w:pPr>
            <w:r>
              <w:rPr>
                <w:sz w:val="20"/>
              </w:rPr>
              <w:t xml:space="preserve">ПК 3.2. Организовывать работы по охране и рациональному использованию ресурсов среды обитания гидробионтов в рыбохозяйственных водоемах.</w:t>
            </w:r>
          </w:p>
          <w:p>
            <w:pPr>
              <w:pStyle w:val="0"/>
              <w:jc w:val="both"/>
            </w:pPr>
            <w:r>
              <w:rPr>
                <w:sz w:val="20"/>
              </w:rPr>
              <w:t xml:space="preserve">ПК 3.3. Регулировать любительское и спортивное рыболовство на рыбохозяйственных водоемах.</w:t>
            </w:r>
          </w:p>
          <w:p>
            <w:pPr>
              <w:pStyle w:val="0"/>
              <w:jc w:val="both"/>
            </w:pPr>
            <w:r>
              <w:rPr>
                <w:sz w:val="20"/>
              </w:rPr>
              <w:t xml:space="preserve">ПК 3.4. Охранять водные биоресурсы и среду их обитания от незаконного промысла в рыбохозяйственных водоемах.</w:t>
            </w:r>
          </w:p>
        </w:tc>
      </w:tr>
      <w:tr>
        <w:tc>
          <w:tcPr>
            <w:tcW w:w="2381" w:type="dxa"/>
          </w:tcPr>
          <w:p>
            <w:pPr>
              <w:pStyle w:val="0"/>
            </w:pPr>
            <w:r>
              <w:rPr>
                <w:sz w:val="20"/>
              </w:rPr>
              <w:t xml:space="preserve">проведение ихтиологических исследований</w:t>
            </w:r>
          </w:p>
        </w:tc>
        <w:tc>
          <w:tcPr>
            <w:tcW w:w="6690" w:type="dxa"/>
          </w:tcPr>
          <w:p>
            <w:pPr>
              <w:pStyle w:val="0"/>
              <w:jc w:val="both"/>
            </w:pPr>
            <w:r>
              <w:rPr>
                <w:sz w:val="20"/>
              </w:rPr>
              <w:t xml:space="preserve">ПК 4.1. Проводить контрольные обловы и брать репрезентативные выборки из промысловых уловов.</w:t>
            </w:r>
          </w:p>
          <w:p>
            <w:pPr>
              <w:pStyle w:val="0"/>
              <w:jc w:val="both"/>
            </w:pPr>
            <w:r>
              <w:rPr>
                <w:sz w:val="20"/>
              </w:rPr>
              <w:t xml:space="preserve">ПК 4.2. Определять видовой и размерный состав уловов рыб.</w:t>
            </w:r>
          </w:p>
          <w:p>
            <w:pPr>
              <w:pStyle w:val="0"/>
              <w:jc w:val="both"/>
            </w:pPr>
            <w:r>
              <w:rPr>
                <w:sz w:val="20"/>
              </w:rPr>
              <w:t xml:space="preserve">ПК 4.3. Отбирать регистрирующие структуры для определения возраста, пробы по питанию, плодовитости рыб.</w:t>
            </w:r>
          </w:p>
          <w:p>
            <w:pPr>
              <w:pStyle w:val="0"/>
              <w:jc w:val="both"/>
            </w:pPr>
            <w:r>
              <w:rPr>
                <w:sz w:val="20"/>
              </w:rPr>
              <w:t xml:space="preserve">ПК 4.4. Оценивать промыслово-биологические параметры размерно-видового состава промысловых уловов рыб, прилов нецелевых видов, долю особей непромыслового размера.</w:t>
            </w:r>
          </w:p>
          <w:p>
            <w:pPr>
              <w:pStyle w:val="0"/>
              <w:jc w:val="both"/>
            </w:pPr>
            <w:r>
              <w:rPr>
                <w:sz w:val="20"/>
              </w:rPr>
              <w:t xml:space="preserve">ПК 4.5. Контролировать состояние водных объектов и водоохранных зон, а также характер антропогенного воздействия на водные биоресурсы и среду их обитания.</w:t>
            </w:r>
          </w:p>
        </w:tc>
      </w:tr>
      <w:tr>
        <w:tc>
          <w:tcPr>
            <w:tcW w:w="2381" w:type="dxa"/>
          </w:tcPr>
          <w:p>
            <w:pPr>
              <w:pStyle w:val="0"/>
            </w:pPr>
            <w:r>
              <w:rPr>
                <w:sz w:val="20"/>
              </w:rPr>
              <w:t xml:space="preserve">управление работой структурного подразделения предприятия аквакультуры</w:t>
            </w:r>
          </w:p>
        </w:tc>
        <w:tc>
          <w:tcPr>
            <w:tcW w:w="6690" w:type="dxa"/>
          </w:tcPr>
          <w:p>
            <w:pPr>
              <w:pStyle w:val="0"/>
              <w:jc w:val="both"/>
            </w:pPr>
            <w:r>
              <w:rPr>
                <w:sz w:val="20"/>
              </w:rPr>
              <w:t xml:space="preserve">ПК 5.1. Планировать основные показатели рыбоводческой организации.</w:t>
            </w:r>
          </w:p>
          <w:p>
            <w:pPr>
              <w:pStyle w:val="0"/>
              <w:jc w:val="both"/>
            </w:pPr>
            <w:r>
              <w:rPr>
                <w:sz w:val="20"/>
              </w:rPr>
              <w:t xml:space="preserve">ПК 5.2. Организовывать работу трудового коллектива.</w:t>
            </w:r>
          </w:p>
          <w:p>
            <w:pPr>
              <w:pStyle w:val="0"/>
              <w:jc w:val="both"/>
            </w:pPr>
            <w:r>
              <w:rPr>
                <w:sz w:val="20"/>
              </w:rPr>
              <w:t xml:space="preserve">ПК 5.3. Контролировать ход и оценивать результаты выполнения работ и оказания услуг исполнителями.</w:t>
            </w:r>
          </w:p>
          <w:p>
            <w:pPr>
              <w:pStyle w:val="0"/>
              <w:jc w:val="both"/>
            </w:pPr>
            <w:r>
              <w:rPr>
                <w:sz w:val="20"/>
              </w:rPr>
              <w:t xml:space="preserve">ПК 5.4. Изучать рынок и конъюнктуру продукции и услуг в области профессиональной деятельности.</w:t>
            </w:r>
          </w:p>
          <w:p>
            <w:pPr>
              <w:pStyle w:val="0"/>
              <w:jc w:val="both"/>
            </w:pPr>
            <w:r>
              <w:rPr>
                <w:sz w:val="20"/>
              </w:rPr>
              <w:t xml:space="preserve">ПК 5.5. Вести утвержденную учетно-отчетную документацию.</w:t>
            </w:r>
          </w:p>
        </w:tc>
      </w:tr>
    </w:tbl>
    <w:p>
      <w:pPr>
        <w:pStyle w:val="0"/>
        <w:jc w:val="both"/>
      </w:pPr>
      <w:r>
        <w:rPr>
          <w:sz w:val="20"/>
        </w:rPr>
      </w:r>
    </w:p>
    <w:p>
      <w:pPr>
        <w:pStyle w:val="0"/>
        <w:ind w:firstLine="540"/>
        <w:jc w:val="both"/>
      </w:pPr>
      <w:r>
        <w:rPr>
          <w:sz w:val="20"/>
        </w:rPr>
        <w:t xml:space="preserve">3.4.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 установленным в соответствии с </w:t>
      </w:r>
      <w:hyperlink w:history="0" w:anchor="P111"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
        <w:r>
          <w:rPr>
            <w:sz w:val="20"/>
            <w:color w:val="0000ff"/>
          </w:rPr>
          <w:t xml:space="preserve">пунктом 2.4</w:t>
        </w:r>
      </w:hyperlink>
      <w:r>
        <w:rPr>
          <w:sz w:val="20"/>
        </w:rPr>
        <w:t xml:space="preserve"> ФГОС СПО, а также по видам деятельности, сформированным в вариативной части образовательной программы для учета потребностей регионального рынка труда.</w:t>
      </w:r>
    </w:p>
    <w:p>
      <w:pPr>
        <w:pStyle w:val="0"/>
        <w:spacing w:before="200" w:line-rule="auto"/>
        <w:ind w:firstLine="540"/>
        <w:jc w:val="both"/>
      </w:pPr>
      <w:r>
        <w:rPr>
          <w:sz w:val="20"/>
        </w:rPr>
        <w:t xml:space="preserve">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видам деятельности, осваиваемых в рамках образовательной программы.</w:t>
      </w:r>
    </w:p>
    <w:p>
      <w:pPr>
        <w:pStyle w:val="0"/>
        <w:spacing w:before="200" w:line-rule="auto"/>
        <w:ind w:firstLine="540"/>
        <w:jc w:val="both"/>
      </w:pPr>
      <w:r>
        <w:rPr>
          <w:sz w:val="20"/>
        </w:rPr>
        <w:t xml:space="preserve">3.5. Образовательная организация с учетом ПООП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w:t>
      </w:r>
    </w:p>
    <w:p>
      <w:pPr>
        <w:pStyle w:val="0"/>
        <w:spacing w:before="200" w:line-rule="auto"/>
        <w:ind w:firstLine="540"/>
        <w:jc w:val="both"/>
      </w:pPr>
      <w:r>
        <w:rPr>
          <w:sz w:val="20"/>
        </w:rPr>
        <w:t xml:space="preserve">Совокупность запланированных результатов обучения по дисциплинам (модулям) и практикам должна обеспечивать выпускнику освоение всех компетенций, установленных образовательной программой.</w:t>
      </w:r>
    </w:p>
    <w:p>
      <w:pPr>
        <w:pStyle w:val="0"/>
        <w:spacing w:before="200" w:line-rule="auto"/>
        <w:ind w:firstLine="540"/>
        <w:jc w:val="both"/>
      </w:pPr>
      <w:r>
        <w:rPr>
          <w:sz w:val="20"/>
        </w:rPr>
        <w:t xml:space="preserve">3.6. Обучающиеся, осваивающие образовательную программу, осваивают профессию рабочего, должность служащего (одну или несколько) в соответствии с перечнем профессий рабочих, должностей служащих, по которым осуществляется профессиональное обучение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2" w:tooltip="Федеральный закон от 29.12.2012 N 273-ФЗ (ред. от 05.12.2022) &quot;Об образовании в Российской Федерации&quot; {КонсультантПлюс}">
        <w:r>
          <w:rPr>
            <w:sz w:val="20"/>
            <w:color w:val="0000ff"/>
          </w:rPr>
          <w:t xml:space="preserve">Часть 7 статьи 73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Федеральный </w:t>
      </w:r>
      <w:hyperlink w:history="0" r:id="rId23"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w:t>
        </w:r>
      </w:hyperlink>
      <w:r>
        <w:rPr>
          <w:sz w:val="20"/>
        </w:rPr>
        <w:t xml:space="preserve"> от 30 марта 1999 г. N 52-ФЗ "О санитарно-эпидемиологическом благополучии населения" (Собрание законодательства Российской Федерации, 1999, N 14, ст. 1650; 2021, N 27, ст. 5185);</w:t>
      </w:r>
    </w:p>
    <w:p>
      <w:pPr>
        <w:pStyle w:val="0"/>
        <w:spacing w:before="200" w:line-rule="auto"/>
        <w:ind w:firstLine="540"/>
        <w:jc w:val="both"/>
      </w:pPr>
      <w:r>
        <w:rPr>
          <w:sz w:val="20"/>
        </w:rPr>
        <w:t xml:space="preserve">санитарные правила </w:t>
      </w:r>
      <w:hyperlink w:history="0" r:id="rId2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w:t>
      </w:r>
    </w:p>
    <w:p>
      <w:pPr>
        <w:pStyle w:val="0"/>
        <w:spacing w:before="200" w:line-rule="auto"/>
        <w:ind w:firstLine="540"/>
        <w:jc w:val="both"/>
      </w:pPr>
      <w:r>
        <w:rPr>
          <w:sz w:val="20"/>
        </w:rPr>
        <w:t xml:space="preserve">санитарно-эпидемиологические правила и нормы </w:t>
      </w:r>
      <w:hyperlink w:history="0" r:id="rId25"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pPr>
        <w:pStyle w:val="0"/>
        <w:spacing w:before="200" w:line-rule="auto"/>
        <w:ind w:firstLine="540"/>
        <w:jc w:val="both"/>
      </w:pPr>
      <w:r>
        <w:rPr>
          <w:sz w:val="20"/>
        </w:rPr>
        <w:t xml:space="preserve">санитарные правила и нормы </w:t>
      </w:r>
      <w:hyperlink w:history="0" r:id="rId2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
    <w:p>
      <w:pPr>
        <w:pStyle w:val="0"/>
        <w:jc w:val="both"/>
      </w:pPr>
      <w:r>
        <w:rPr>
          <w:sz w:val="20"/>
        </w:rPr>
      </w:r>
    </w:p>
    <w:p>
      <w:pPr>
        <w:pStyle w:val="0"/>
        <w:ind w:firstLine="540"/>
        <w:jc w:val="both"/>
      </w:pPr>
      <w:r>
        <w:rPr>
          <w:sz w:val="20"/>
        </w:rPr>
        <w:t xml:space="preserve">4.2.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4.3.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а)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включая проведение демонстрационного экзамена, предусмотренных учебным планом, с учетом ПООП;</w:t>
      </w:r>
    </w:p>
    <w:p>
      <w:pPr>
        <w:pStyle w:val="0"/>
        <w:spacing w:before="200" w:line-rule="auto"/>
        <w:ind w:firstLine="540"/>
        <w:jc w:val="both"/>
      </w:pPr>
      <w:r>
        <w:rPr>
          <w:sz w:val="20"/>
        </w:rPr>
        <w:t xml:space="preserve">б)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jc w:val="both"/>
      </w:pPr>
      <w:r>
        <w:rPr>
          <w:sz w:val="20"/>
        </w:rPr>
      </w:r>
    </w:p>
    <w:p>
      <w:pPr>
        <w:pStyle w:val="2"/>
        <w:outlineLvl w:val="2"/>
        <w:ind w:firstLine="540"/>
        <w:jc w:val="both"/>
      </w:pPr>
      <w:r>
        <w:rPr>
          <w:sz w:val="20"/>
        </w:rPr>
        <w:t xml:space="preserve">4.4.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а)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pPr>
        <w:pStyle w:val="0"/>
        <w:spacing w:before="200" w:line-rule="auto"/>
        <w:ind w:firstLine="540"/>
        <w:jc w:val="both"/>
      </w:pPr>
      <w:r>
        <w:rPr>
          <w:sz w:val="20"/>
        </w:rPr>
        <w:t xml:space="preserve">б)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pPr>
        <w:pStyle w:val="0"/>
        <w:spacing w:before="200" w:line-rule="auto"/>
        <w:ind w:firstLine="540"/>
        <w:jc w:val="both"/>
      </w:pPr>
      <w:r>
        <w:rPr>
          <w:sz w:val="20"/>
        </w:rPr>
        <w:t xml:space="preserve">в)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г) допускается замена оборудования его виртуальными аналогами;</w:t>
      </w:r>
    </w:p>
    <w:p>
      <w:pPr>
        <w:pStyle w:val="0"/>
        <w:spacing w:before="200" w:line-rule="auto"/>
        <w:ind w:firstLine="540"/>
        <w:jc w:val="both"/>
      </w:pPr>
      <w:r>
        <w:rPr>
          <w:sz w:val="20"/>
        </w:rPr>
        <w:t xml:space="preserve">д)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pPr>
        <w:pStyle w:val="0"/>
        <w:spacing w:before="200" w:line-rule="auto"/>
        <w:ind w:firstLine="540"/>
        <w:jc w:val="both"/>
      </w:pPr>
      <w:r>
        <w:rPr>
          <w:sz w:val="20"/>
        </w:rPr>
        <w:t xml:space="preserve">е)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pPr>
        <w:pStyle w:val="0"/>
        <w:spacing w:before="200" w:line-rule="auto"/>
        <w:ind w:firstLine="540"/>
        <w:jc w:val="both"/>
      </w:pPr>
      <w:r>
        <w:rPr>
          <w:sz w:val="20"/>
        </w:rPr>
        <w:t xml:space="preserve">ж) 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з) 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и)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pPr>
        <w:pStyle w:val="0"/>
        <w:spacing w:before="200" w:line-rule="auto"/>
        <w:ind w:firstLine="540"/>
        <w:jc w:val="both"/>
      </w:pPr>
      <w:r>
        <w:rPr>
          <w:sz w:val="20"/>
        </w:rPr>
        <w:t xml:space="preserve">к)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л)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w:t>
      </w:r>
    </w:p>
    <w:p>
      <w:pPr>
        <w:pStyle w:val="0"/>
        <w:spacing w:before="200" w:line-rule="auto"/>
        <w:ind w:firstLine="540"/>
        <w:jc w:val="both"/>
      </w:pPr>
      <w:r>
        <w:rPr>
          <w:sz w:val="20"/>
        </w:rPr>
        <w:t xml:space="preserve">м)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4.5. Требования к кадровым условиям реализации образовательной программы:</w:t>
      </w:r>
    </w:p>
    <w:p>
      <w:pPr>
        <w:pStyle w:val="0"/>
        <w:spacing w:before="200" w:line-rule="auto"/>
        <w:ind w:firstLine="540"/>
        <w:jc w:val="both"/>
      </w:pPr>
      <w:r>
        <w:rPr>
          <w:sz w:val="20"/>
        </w:rPr>
        <w:t xml:space="preserve">а)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70" w:tooltip="1.14. Область профессиональной деятельности, в которой выпускники, освоившие образовательную программу, могут осуществлять профессиональную деятельность: 15 Рыбоводство и рыболовство &lt;5&gt;.">
        <w:r>
          <w:rPr>
            <w:sz w:val="20"/>
            <w:color w:val="0000ff"/>
          </w:rPr>
          <w:t xml:space="preserve">пункте 1.14</w:t>
        </w:r>
      </w:hyperlink>
      <w:r>
        <w:rPr>
          <w:sz w:val="20"/>
        </w:rPr>
        <w:t xml:space="preserve"> ФГОС СПО (имеющих стаж работы в данной профессиональной области не менее трех лет);</w:t>
      </w:r>
    </w:p>
    <w:p>
      <w:pPr>
        <w:pStyle w:val="0"/>
        <w:spacing w:before="200" w:line-rule="auto"/>
        <w:ind w:firstLine="540"/>
        <w:jc w:val="both"/>
      </w:pPr>
      <w:r>
        <w:rPr>
          <w:sz w:val="20"/>
        </w:rPr>
        <w:t xml:space="preserve">б)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в) 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70" w:tooltip="1.14. Область профессиональной деятельности, в которой выпускники, освоившие образовательную программу, могут осуществлять профессиональную деятельность: 15 Рыбоводство и рыболовство &lt;5&gt;.">
        <w:r>
          <w:rPr>
            <w:sz w:val="20"/>
            <w:color w:val="0000ff"/>
          </w:rPr>
          <w:t xml:space="preserve">пункте 1.14</w:t>
        </w:r>
      </w:hyperlink>
      <w:r>
        <w:rPr>
          <w:sz w:val="20"/>
        </w:rPr>
        <w:t xml:space="preserve">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pPr>
        <w:pStyle w:val="0"/>
        <w:spacing w:before="200" w:line-rule="auto"/>
        <w:ind w:firstLine="540"/>
        <w:jc w:val="both"/>
      </w:pPr>
      <w:r>
        <w:rPr>
          <w:sz w:val="20"/>
        </w:rPr>
        <w:t xml:space="preserve">г) 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w:t>
      </w:r>
      <w:hyperlink w:history="0" w:anchor="P70" w:tooltip="1.14. Область профессиональной деятельности, в которой выпускники, освоившие образовательную программу, могут осуществлять профессиональную деятельность: 15 Рыбоводство и рыболовство &lt;5&gt;.">
        <w:r>
          <w:rPr>
            <w:sz w:val="20"/>
            <w:color w:val="0000ff"/>
          </w:rPr>
          <w:t xml:space="preserve">пункте 1.14</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4.6. Требование к финансовым условиям реализации образовательной программы:</w:t>
      </w:r>
    </w:p>
    <w:p>
      <w:pPr>
        <w:pStyle w:val="0"/>
        <w:spacing w:before="200" w:line-rule="auto"/>
        <w:ind w:firstLine="540"/>
        <w:jc w:val="both"/>
      </w:pPr>
      <w:r>
        <w:rPr>
          <w:sz w:val="20"/>
        </w:rPr>
        <w:t xml:space="preserve">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4.7.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а)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б)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в) внешняя оценка качества образовательной программы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целях признания качества и уровня подготовки выпускников другим признанным критериям оценка может осуществляться авторизованными национальными профессионально-общественными организациями, входящими в международные структуры, в том числе иностранными организациями.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01.06.2022 N 388</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AAB5F42F633EB8E5B4585CBAE410B1FCF724891B0058E5A8CB2DF8E0F76382CF1FA04A27FC0EF58A6EE07A50313BE3873DEB5EC4D3CD568g7L4Q" TargetMode = "External"/>
	<Relationship Id="rId8" Type="http://schemas.openxmlformats.org/officeDocument/2006/relationships/hyperlink" Target="consultantplus://offline/ref=6AAB5F42F633EB8E5B4585CBAE410B1FC8784092B1018E5A8CB2DF8E0F76382CF1FA04A27FC0EF5AA5EE07A50313BE3873DEB5EC4D3CD568g7L4Q" TargetMode = "External"/>
	<Relationship Id="rId9" Type="http://schemas.openxmlformats.org/officeDocument/2006/relationships/hyperlink" Target="consultantplus://offline/ref=6AAB5F42F633EB8E5B4585CBAE410B1FC8784194BD048E5A8CB2DF8E0F76382CF1FA04A27FC0EF5CA5EE07A50313BE3873DEB5EC4D3CD568g7L4Q" TargetMode = "External"/>
	<Relationship Id="rId10" Type="http://schemas.openxmlformats.org/officeDocument/2006/relationships/hyperlink" Target="consultantplus://offline/ref=6AAB5F42F633EB8E5B4585CBAE410B1FC8764E96B4018E5A8CB2DF8E0F76382CF1FA04A27FC1EA5FA2EE07A50313BE3873DEB5EC4D3CD568g7L4Q" TargetMode = "External"/>
	<Relationship Id="rId11" Type="http://schemas.openxmlformats.org/officeDocument/2006/relationships/hyperlink" Target="consultantplus://offline/ref=6AAB5F42F633EB8E5B4585CBAE410B1FCF704096B0028E5A8CB2DF8E0F76382CF1FA04A27FC1EF54A7EE07A50313BE3873DEB5EC4D3CD568g7L4Q" TargetMode = "External"/>
	<Relationship Id="rId12" Type="http://schemas.openxmlformats.org/officeDocument/2006/relationships/hyperlink" Target="consultantplus://offline/ref=6AAB5F42F633EB8E5B4585CBAE410B1FCF704898B6038E5A8CB2DF8E0F76382CF1FA04A27FC0EF5CA6EE07A50313BE3873DEB5EC4D3CD568g7L4Q" TargetMode = "External"/>
	<Relationship Id="rId13" Type="http://schemas.openxmlformats.org/officeDocument/2006/relationships/hyperlink" Target="consultantplus://offline/ref=6AAB5F42F633EB8E5B4585CBAE410B1FC8764E96B4018E5A8CB2DF8E0F76382CF1FA04A27FC1EA5FA2EE07A50313BE3873DEB5EC4D3CD568g7L4Q" TargetMode = "External"/>
	<Relationship Id="rId14" Type="http://schemas.openxmlformats.org/officeDocument/2006/relationships/hyperlink" Target="consultantplus://offline/ref=6AAB5F42F633EB8E5B4585CBAE410B1FCF734F94B1058E5A8CB2DF8E0F76382CF1FA04A77494BE19F2E852F25947B12777C0B6gELCQ" TargetMode = "External"/>
	<Relationship Id="rId15" Type="http://schemas.openxmlformats.org/officeDocument/2006/relationships/hyperlink" Target="consultantplus://offline/ref=6AAB5F42F633EB8E5B4585CBAE410B1FCF734F94B1058E5A8CB2DF8E0F76382CF1FA04A77494BE19F2E852F25947B12777C0B6gELCQ" TargetMode = "External"/>
	<Relationship Id="rId16" Type="http://schemas.openxmlformats.org/officeDocument/2006/relationships/hyperlink" Target="consultantplus://offline/ref=6AAB5F42F633EB8E5B4585CBAE410B1FCF704098B5018E5A8CB2DF8E0F76382CF1FA04A27FC0EF5CA2EE07A50313BE3873DEB5EC4D3CD568g7L4Q" TargetMode = "External"/>
	<Relationship Id="rId17" Type="http://schemas.openxmlformats.org/officeDocument/2006/relationships/hyperlink" Target="consultantplus://offline/ref=6AAB5F42F633EB8E5B4585CBAE410B1FCF724A95B6058E5A8CB2DF8E0F76382CF1FA04A77BC6E409F6A106F94640AD3877DEB6EE51g3LCQ" TargetMode = "External"/>
	<Relationship Id="rId18" Type="http://schemas.openxmlformats.org/officeDocument/2006/relationships/hyperlink" Target="consultantplus://offline/ref=6AAB5F42F633EB8E5B4585CBAE410B1FCF724A95B6058E5A8CB2DF8E0F76382CF1FA04A27FC0ED59AEEE07A50313BE3873DEB5EC4D3CD568g7L4Q" TargetMode = "External"/>
	<Relationship Id="rId19" Type="http://schemas.openxmlformats.org/officeDocument/2006/relationships/hyperlink" Target="consultantplus://offline/ref=6AAB5F42F633EB8E5B4585CBAE410B1FCF704898B6038E5A8CB2DF8E0F76382CF1FA04A27FC0EF5EA7EE07A50313BE3873DEB5EC4D3CD568g7L4Q" TargetMode = "External"/>
	<Relationship Id="rId20" Type="http://schemas.openxmlformats.org/officeDocument/2006/relationships/hyperlink" Target="consultantplus://offline/ref=6AAB5F42F633EB8E5B4585CBAE410B1FC9704D96B7038E5A8CB2DF8E0F76382CF1FA04A27FC0EF5AAFEE07A50313BE3873DEB5EC4D3CD568g7L4Q" TargetMode = "External"/>
	<Relationship Id="rId21" Type="http://schemas.openxmlformats.org/officeDocument/2006/relationships/hyperlink" Target="consultantplus://offline/ref=6AAB5F42F633EB8E5B4585CBAE410B1FC9704D96B7038E5A8CB2DF8E0F76382CF1FA04A27FC0EF59A0EE07A50313BE3873DEB5EC4D3CD568g7L4Q" TargetMode = "External"/>
	<Relationship Id="rId22" Type="http://schemas.openxmlformats.org/officeDocument/2006/relationships/hyperlink" Target="consultantplus://offline/ref=6AAB5F42F633EB8E5B4585CBAE410B1FCF724A95B6058E5A8CB2DF8E0F76382CF1FA04A77EC5E409F6A106F94640AD3877DEB6EE51g3LCQ" TargetMode = "External"/>
	<Relationship Id="rId23" Type="http://schemas.openxmlformats.org/officeDocument/2006/relationships/hyperlink" Target="consultantplus://offline/ref=6AAB5F42F633EB8E5B4585CBAE410B1FCF724997B7078E5A8CB2DF8E0F76382CE3FA5CAE7EC6F15CA5FB51F445g4L4Q" TargetMode = "External"/>
	<Relationship Id="rId24" Type="http://schemas.openxmlformats.org/officeDocument/2006/relationships/hyperlink" Target="consultantplus://offline/ref=6AAB5F42F633EB8E5B4585CBAE410B1FC8764894BC078E5A8CB2DF8E0F76382CF1FA04A27FC0EF59A0EE07A50313BE3873DEB5EC4D3CD568g7L4Q" TargetMode = "External"/>
	<Relationship Id="rId25" Type="http://schemas.openxmlformats.org/officeDocument/2006/relationships/hyperlink" Target="consultantplus://offline/ref=6AAB5F42F633EB8E5B4585CBAE410B1FC8774E94B3078E5A8CB2DF8E0F76382CF1FA04A27FC0EF5EA0EE07A50313BE3873DEB5EC4D3CD568g7L4Q" TargetMode = "External"/>
	<Relationship Id="rId26" Type="http://schemas.openxmlformats.org/officeDocument/2006/relationships/hyperlink" Target="consultantplus://offline/ref=6AAB5F42F633EB8E5B4585CBAE410B1FC8764C99B60A8E5A8CB2DF8E0F76382CF1FA04A27FC0EE5EA0EE07A50313BE3873DEB5EC4D3CD568g7L4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01.06.2022 N 388
"Об утверждении федерального государственного образовательного стандарта среднего профессионального образования по специальности 35.02.09 Водные биоресурсы и аквакультура"
(Зарегистрировано в Минюсте России 01.07.2022 N 69109)</dc:title>
  <dcterms:created xsi:type="dcterms:W3CDTF">2022-12-16T16:11:31Z</dcterms:created>
</cp:coreProperties>
</file>