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461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35.02.12 Садово-парковое и ландшафтное строительство"</w:t>
              <w:br/>
              <w:t xml:space="preserve">(Зарегистрировано в Минюсте России 27.06.2014 N 32891)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июня 2014 г. N 32891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461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35.02.12 САДОВО-ПАРКОВОЕ И ЛАНДШАФТНОЕ СТРОИТЕЛЬСТВО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35.02.12 Садово-парковое и ландшафтное строительство.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9.04.2010 N 391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50109 Садово-парковое и ландшафтное строительство&quot; (Зарегистрировано в Минюсте РФ 03.06.2010 N 1745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19 апреля 2010 г. N 391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250109 Садово-парковое и ландшафтное строительство" (зарегистрирован Министерством юстиции Российской Федерации 3 июня 2010 г., регистрационный N 17455).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мая 2014 г. N 461</w:t>
      </w:r>
    </w:p>
    <w:p>
      <w:pPr>
        <w:pStyle w:val="0"/>
        <w:jc w:val="right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35.02.12 САДОВО-ПАРКОВОЕ И ЛАНДШАФТНОЕ СТРОИТЕЛЬСТВО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35.02.12 Садово-парковое и ландшафтное строительство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35.02.12 Садово-парковое и ландшафтное строительство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35.02.12 Садово-парковое и ландшафтное строительство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932"/>
        <w:gridCol w:w="2279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93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обеспечение работ по садово-парковому и ландшафтному строительству объектов озеленения.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заказы потребителя на выполнение работ по садово-парковому и ландшафтному строительству;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территориальные объекты;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и операции;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материалы, в том числе специальные;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Проектирование объектов садово-паркового и ландшафтного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Ведение работ по садово-парковому и ландшафтному строительству.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Внедрение современных технологий садово-паркового и ландшафтного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737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Проектирование объектов садово-паркового и ландшафтного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ландшафтный анализ и предпроектную оценку объекта озеленения.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проектные чертежи объектов озеленения с использованием компьютерных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Разрабатывать проектно-сметную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Ведение работ по садово-парковому и ландшафтному строительству.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Анализировать спрос на услуги садово-паркового и ландшафтного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Продвигать услуги по садово-парковому и ландшафтному строительству на рынке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садово-парковые и ландшафтные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Контролировать и оценивать качество садово-парковых и ландшафтных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Внедрение современных технологий садово-паркового и ландшафтного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Создавать базу данных о современных технологиях садово-паркового и ландшафтного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апробацию современных технологий садово-паркового и ландшафтного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Консультировать заказчиков по вопросам современных технологий в садово-парковом и ландшафтном строительстве.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00"/>
        <w:gridCol w:w="5010"/>
        <w:gridCol w:w="1681"/>
        <w:gridCol w:w="1753"/>
        <w:gridCol w:w="2024"/>
        <w:gridCol w:w="1663"/>
      </w:tblGrid>
      <w:tr>
        <w:tc>
          <w:tcPr>
            <w:tcW w:w="1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7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7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0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7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0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4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</w:t>
            </w:r>
          </w:p>
        </w:tc>
        <w:tc>
          <w:tcPr>
            <w:tcW w:w="17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2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математические методы при решении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элементарные расчеты, необходимые в садово-парковом и ландшафтном строительстве;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численные методы решения прикладных задач и их применение в садово-парковом и ландшафтном строительстве;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4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специализированной информации в информационно-телекоммуникационной сети "Интернет" (далее - сеть Интернет), работать с электронной почтой, с информацией, представленной в специализированных базах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организации информации в современном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телекоммуникационные сети различного типа (локальные, глобальные), их назначение и возможности;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работы в локальной сети и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прикладные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компьютерной графики и дизайна;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4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Информационные технологии в профессиональной деятельности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принципы рационального природопользования при выполнении садово-парковых и ландшафтных работ на объектах;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экологический мониторинг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предупреждать возникновение экологической 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потенциал, 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размещение производства и проблему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мониторинга окружающей среды, экологическое регулирование, прогнозирование последствий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концепцию устойчивого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международное сотрудничество в области природопользования и охраны окружающей среды.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4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3.1 - 3.3</w:t>
            </w:r>
          </w:p>
        </w:tc>
      </w:tr>
      <w:tr>
        <w:tc>
          <w:tcPr>
            <w:tcW w:w="140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2250</w:t>
            </w:r>
          </w:p>
        </w:tc>
        <w:tc>
          <w:tcPr>
            <w:tcW w:w="17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  <w:tc>
          <w:tcPr>
            <w:tcW w:w="2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</w:t>
            </w:r>
          </w:p>
        </w:tc>
        <w:tc>
          <w:tcPr>
            <w:tcW w:w="17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2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показатели экономической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удельные технико-экономические показатели различных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рентабельность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ценообразования и формы оплаты труда;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4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Экономика организации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современные технологии управления организацией;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основные документы по регистрации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документооборот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и планирования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управления организацией;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организацией;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4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менеджмента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санитарные требования;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Стандарты по безопасности труда, Санитарные нормы и Строительные нормы и правила (далее - СНиП)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инструкции по электробезопасности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безопасности труда и пожарной охраны в сельскохозяйственном производстве, зеленом хозяйстве и объектах озеленения;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электробезопасности;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4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Охрана труда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растения;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растения по определителю;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растительных клеток и тканей;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морфологические и анатомические особенности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физиологию растений, их размножение;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4" w:type="dxa"/>
          </w:tcPr>
          <w:p>
            <w:pPr>
              <w:pStyle w:val="0"/>
            </w:pPr>
            <w:r>
              <w:rPr>
                <w:sz w:val="20"/>
              </w:rPr>
              <w:t xml:space="preserve">ОП.04. Ботаника с основами физиологии растений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оценку почвенного покрова по механическому составу;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простейшие агрохимические анализы почвы;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основные виды почвы;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минералогический и химический состав почвы;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земледелия;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охране окружающей среды;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4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почвоведения, земледелия и агрохимии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стилевые особенности садово-паркового ландшафта;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пейзаж ландшафта в соответствии со стилевыми особенностями;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садово-паркового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стилевые направления в садово-парковом искусстве;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и компоненты садово-паркового искусства;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4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садово-паркового искусства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садово-парковому и ландшафтному строительству с учетом особенностей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развития озеленения региона;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планировочную структуру местности, систему ее озеленения, понятие о застройке, сетях и сооружениях;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озеленения объектов общего, специального назначения, ограниченного пользования;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4" w:type="dxa"/>
          </w:tcPr>
          <w:p>
            <w:pPr>
              <w:pStyle w:val="0"/>
            </w:pPr>
            <w:r>
              <w:rPr>
                <w:sz w:val="20"/>
              </w:rPr>
              <w:t xml:space="preserve">ОП.07. Озеленение населенных мест с основами градостроительства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ассортимент растений для различных объектов озеленения;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цветочно-декоративных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морфологические и биологические особенности цветочно-декоративных растений открытого и закрытого грунта, древесных и кустарниковых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размножение цветочно-декоративных древесно-кустарниковых растений, типы посадок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растений от вредителей и болезней;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4" w:type="dxa"/>
          </w:tcPr>
          <w:p>
            <w:pPr>
              <w:pStyle w:val="0"/>
            </w:pPr>
            <w:r>
              <w:rPr>
                <w:sz w:val="20"/>
              </w:rPr>
              <w:t xml:space="preserve">ОП.08. Цветочно-декоративные растения и дендрология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наступления;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024" w:type="dxa"/>
          </w:tcPr>
          <w:p>
            <w:pPr>
              <w:pStyle w:val="0"/>
            </w:pPr>
            <w:r>
              <w:rPr>
                <w:sz w:val="20"/>
              </w:rPr>
              <w:t xml:space="preserve">ОП.09. Безопасность жизнедеятельности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3.1 - 3.3</w:t>
            </w:r>
          </w:p>
        </w:tc>
      </w:tr>
      <w:tr>
        <w:tc>
          <w:tcPr>
            <w:tcW w:w="140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1548</w:t>
            </w:r>
          </w:p>
        </w:tc>
        <w:tc>
          <w:tcPr>
            <w:tcW w:w="17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1032</w:t>
            </w:r>
          </w:p>
        </w:tc>
        <w:tc>
          <w:tcPr>
            <w:tcW w:w="2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 объектов садово-паркового и ландшафтного строительства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 проведения ландшафтного анализа и предпроектной оценки объекта озеленения;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проектных чертежей объектов озеленения с использованием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проектно-сметной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стандарты Единой системы конструкторской документации (далее - ЕСКД) и Системы проектной документации для строительства (далее - СПДС), пользоваться СНиП;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изыскательские работы на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приборами и инструментами;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инвентаризацию существующей растительности на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согласовывать юридические вопросы по землеустройству с заинтересованными сторонами;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схему вертикальной планировки и картограмму земляных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предпроектный план, эскиз и генплан объекта озеленения;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разбивочные и посадочные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при проектировании объектов озеленения;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ведомости объемов различных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сметы на производство различных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календарный график производства различных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согласовывать проектную документацию со смежными организациями, контролирующими органами и заказчиками;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ЕСКД, СПДС, СНиП;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землеустройства и землепользования, кадастровый план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геодезии и геопластики;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гидрологические условия, геологические и почвенные характеристики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специализированные приборы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проектирования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 и архитектурной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композиции пейзажей;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стили ландшафтного дизайна и историю садово-паркового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компьютерные программы для ландшафтного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требования к оформлению проектно-сметной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психологии общения.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4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проектирования объектов садово-паркового строительства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4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0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работ по садово-парковому и ландшафтному строительству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 исследования спроса на услуги садово-паркового и ландшафтного строительства;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продвижения услуг по садово-парковому строительству на рынке;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выполнения работ по садово-парковому и ландшафтному строительству;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 оценки качества садово-парковых и ландшафтных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специализированной информации о рынке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маркетинговых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изучать запросы потребителей и оценивать стратегию конкурентов;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ценовую политику услуг и выбирать каналы сбыта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рекламный продукт и организовывать рекламную кампанию;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растения, материалы, оборудование и инструменты для садово-парковых и ландшафтных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деятельность подчиненных в соответствии с календарным графиком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подготовительные работы на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агротехнические работы на объектах озеленения;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работы по строительству садово-парковых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техники безопасности на объектах озеленения и строительства садово-парковых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сопоставлять фактически достигнутые результаты с запланированными;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отклонения и анализировать причины, корректировать выявленные отклонения;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эффективность выполненных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поиска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инструменты маркетинговых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рынок услуг по садово-парковому и ландшафтному строительству;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стратегии конкурентов;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ценообразования и основные виды ценовых стратегий;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системы сбыта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создания рекламного продукта, технологию рекламной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цветочно-декоративных и древесно-декоративных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почвы на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специализированных материалов, оборудования и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должностные инструкции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подготовительных работ на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и время на выполнение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агротехнических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корректировки садово-парковых и ландшафтных работ.</w:t>
            </w:r>
          </w:p>
        </w:tc>
        <w:tc>
          <w:tcPr>
            <w:tcW w:w="16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Цветоводство и декоративное древоводство</w:t>
            </w:r>
          </w:p>
        </w:tc>
        <w:tc>
          <w:tcPr>
            <w:tcW w:w="16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Садово-парковое строительство и хозяйство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Маркетинг ландшафтных услуг</w:t>
            </w:r>
          </w:p>
        </w:tc>
        <w:tc>
          <w:tcPr>
            <w:vMerge w:val="continue"/>
          </w:tcPr>
          <w:p/>
        </w:tc>
      </w:tr>
      <w:tr>
        <w:tc>
          <w:tcPr>
            <w:tcW w:w="140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современных технологий садово-паркового и ландшафтного строительства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базы данных о современных технологиях садово-паркового и ландшафтного строительства;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внедрения современных технологий садово-паркового и ландшафтного строительства;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консультирования по вопросам современных технологий в садово-парковом и ландшафтном строительстве;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изучать передовой опыт зарубежных и отечественных фирм;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необходимую современную технологию для апробации;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программу внедрения технологии в производство;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внедрение технологии на основе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эффективности апробированной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потребности заказчика;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представлять информацию о современных технологиях заказчику;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предлагать индивидуальные ландшафтные решения в соответствии с потребностями заказчика;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заказчика по вопросам ведения агротехнических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и способы получения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систематизации информации и создания базы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садово-паркового и ландшафтного строительства;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способы внедрения современных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эффективности внедрения современных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психологию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агрономии и технологические процессы агротехнических работ.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4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Современные технологии садово-паркового и ландшафтного строительства</w:t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4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7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7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8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75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0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3.1 - 3.3</w:t>
            </w:r>
          </w:p>
        </w:tc>
      </w:tr>
      <w:tr>
        <w:tc>
          <w:tcPr>
            <w:tcW w:w="140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0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09"/>
        <w:gridCol w:w="1644"/>
      </w:tblGrid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44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10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737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00"/>
        <w:gridCol w:w="1120"/>
      </w:tblGrid>
      <w:t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2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2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2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экономики, менеджмента и маркетинга;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ботаники и физиологии растений;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почвоведения, земледелия и агрохимии;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цветочно-декоративных растений и дендрологии;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садово-паркового и ландшафтного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восемнадцатый - девятнадцатый утратили силу. -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35.02.12 Садово-парковое</w:t>
      </w:r>
    </w:p>
    <w:p>
      <w:pPr>
        <w:pStyle w:val="0"/>
        <w:jc w:val="right"/>
      </w:pPr>
      <w:r>
        <w:rPr>
          <w:sz w:val="20"/>
        </w:rPr>
        <w:t xml:space="preserve">и ландшафтное строительство</w:t>
      </w:r>
    </w:p>
    <w:p>
      <w:pPr>
        <w:pStyle w:val="0"/>
        <w:jc w:val="both"/>
      </w:pPr>
      <w:r>
        <w:rPr>
          <w:sz w:val="20"/>
        </w:rPr>
      </w:r>
    </w:p>
    <w:bookmarkStart w:id="737" w:name="P737"/>
    <w:bookmarkEnd w:id="73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3"/>
        <w:gridCol w:w="6090"/>
      </w:tblGrid>
      <w:tr>
        <w:tc>
          <w:tcPr>
            <w:tcW w:w="3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573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17531</w:t>
              </w:r>
            </w:hyperlink>
          </w:p>
        </w:tc>
        <w:tc>
          <w:tcPr>
            <w:tcW w:w="6090" w:type="dxa"/>
          </w:tcPr>
          <w:p>
            <w:pPr>
              <w:pStyle w:val="0"/>
            </w:pPr>
            <w:r>
              <w:rPr>
                <w:sz w:val="20"/>
              </w:rPr>
              <w:t xml:space="preserve">Рабочий зеленого хозяйства</w:t>
            </w:r>
          </w:p>
        </w:tc>
      </w:tr>
      <w:tr>
        <w:tc>
          <w:tcPr>
            <w:tcW w:w="3573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18103</w:t>
              </w:r>
            </w:hyperlink>
          </w:p>
        </w:tc>
        <w:tc>
          <w:tcPr>
            <w:tcW w:w="6090" w:type="dxa"/>
          </w:tcPr>
          <w:p>
            <w:pPr>
              <w:pStyle w:val="0"/>
            </w:pPr>
            <w:r>
              <w:rPr>
                <w:sz w:val="20"/>
              </w:rPr>
              <w:t xml:space="preserve">Садовник</w:t>
            </w:r>
          </w:p>
        </w:tc>
      </w:tr>
      <w:tr>
        <w:tc>
          <w:tcPr>
            <w:tcW w:w="3573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19524</w:t>
              </w:r>
            </w:hyperlink>
          </w:p>
        </w:tc>
        <w:tc>
          <w:tcPr>
            <w:tcW w:w="6090" w:type="dxa"/>
          </w:tcPr>
          <w:p>
            <w:pPr>
              <w:pStyle w:val="0"/>
            </w:pPr>
            <w:r>
              <w:rPr>
                <w:sz w:val="20"/>
              </w:rPr>
              <w:t xml:space="preserve">Цветовод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461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461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CCDA56B2E505304977C4FEDFC8BB84552F3CB7E7511C48349E1BB80D99C1B493A84EC2F98331F580AEEB42C64339C21AAB3F982EEC8C97Cj3P5Q" TargetMode = "External"/>
	<Relationship Id="rId8" Type="http://schemas.openxmlformats.org/officeDocument/2006/relationships/hyperlink" Target="consultantplus://offline/ref=BCCDA56B2E505304977C4FEDFC8BB84553F2C478751BC48349E1BB80D99C1B493A84EC2F98321E5D0DEEB42C64339C21AAB3F982EEC8C97Cj3P5Q" TargetMode = "External"/>
	<Relationship Id="rId9" Type="http://schemas.openxmlformats.org/officeDocument/2006/relationships/hyperlink" Target="consultantplus://offline/ref=BCCDA56B2E505304977C4FEDFC8BB84550FAC178751AC48349E1BB80D99C1B492884B423993400580DFBE27D22j6P4Q" TargetMode = "External"/>
	<Relationship Id="rId10" Type="http://schemas.openxmlformats.org/officeDocument/2006/relationships/hyperlink" Target="consultantplus://offline/ref=BCCDA56B2E505304977C4FEDFC8BB84552F3CB7E7511C48349E1BB80D99C1B493A84EC2F98331F580AEEB42C64339C21AAB3F982EEC8C97Cj3P5Q" TargetMode = "External"/>
	<Relationship Id="rId11" Type="http://schemas.openxmlformats.org/officeDocument/2006/relationships/hyperlink" Target="consultantplus://offline/ref=BCCDA56B2E505304977C4FEDFC8BB84552F3CB7E7511C48349E1BB80D99C1B493A84EC2F98331F5809EEB42C64339C21AAB3F982EEC8C97Cj3P5Q" TargetMode = "External"/>
	<Relationship Id="rId12" Type="http://schemas.openxmlformats.org/officeDocument/2006/relationships/hyperlink" Target="consultantplus://offline/ref=BCCDA56B2E505304977C4FEDFC8BB84552F3CB7E7511C48349E1BB80D99C1B493A84EC2F98331F5807EEB42C64339C21AAB3F982EEC8C97Cj3P5Q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C357ACD2163D54FB0043FC8B9A63BA736D85A7BD3BB7D0D969CBD6E251F92B382540D485C29EF6BDA8B59663D2kFPFQ" TargetMode = "External"/>
	<Relationship Id="rId16" Type="http://schemas.openxmlformats.org/officeDocument/2006/relationships/hyperlink" Target="consultantplus://offline/ref=C357ACD2163D54FB0043FC8B9A63BA736D84A6BD3BB3D0D969CBD6E251F92B3837408C8BCA98E3E8FBEFC16ED1FB05432073A68DC1k6P6Q" TargetMode = "External"/>
	<Relationship Id="rId17" Type="http://schemas.openxmlformats.org/officeDocument/2006/relationships/hyperlink" Target="consultantplus://offline/ref=C357ACD2163D54FB0043FC8B9A63BA736D85A7BD3BB7D0D969CBD6E251F92B3837408C89C398E1BDAAA0C03294A816432473A58FDD66C1A5k2P3Q" TargetMode = "External"/>
	<Relationship Id="rId18" Type="http://schemas.openxmlformats.org/officeDocument/2006/relationships/hyperlink" Target="consultantplus://offline/ref=C357ACD2163D54FB0043FC8B9A63BA736A8FACB939B3D0D969CBD6E251F92B3837408C89C399E9BDA3A0C03294A816432473A58FDD66C1A5k2P3Q" TargetMode = "External"/>
	<Relationship Id="rId19" Type="http://schemas.openxmlformats.org/officeDocument/2006/relationships/hyperlink" Target="consultantplus://offline/ref=C357ACD2163D54FB0043FC8B9A63BA736D85A7BD3BB7D0D969CBD6E251F92B3837408C89C398E0BCA9A0C03294A816432473A58FDD66C1A5k2P3Q" TargetMode = "External"/>
	<Relationship Id="rId20" Type="http://schemas.openxmlformats.org/officeDocument/2006/relationships/hyperlink" Target="consultantplus://offline/ref=C357ACD2163D54FB0043FC8B9A63BA736885A1B031B7D0D969CBD6E251F92B3837408C89C398E8BDAAA0C03294A816432473A58FDD66C1A5k2P3Q" TargetMode = "External"/>
	<Relationship Id="rId21" Type="http://schemas.openxmlformats.org/officeDocument/2006/relationships/hyperlink" Target="consultantplus://offline/ref=C357ACD2163D54FB0043FC8B9A63BA736885A1B031B7D0D969CBD6E251F92B3837408C89C39FEEBDA3A0C03294A816432473A58FDD66C1A5k2P3Q" TargetMode = "External"/>
	<Relationship Id="rId22" Type="http://schemas.openxmlformats.org/officeDocument/2006/relationships/hyperlink" Target="consultantplus://offline/ref=C357ACD2163D54FB0043FC8B9A63BA736885A1B031B7D0D969CBD6E251F92B3837408C89C39CEABDAAA0C03294A816432473A58FDD66C1A5k2P3Q" TargetMode = "External"/>
	<Relationship Id="rId23" Type="http://schemas.openxmlformats.org/officeDocument/2006/relationships/hyperlink" Target="consultantplus://offline/ref=C357ACD2163D54FB0043FC8B9A63BA736885A1B031B7D0D969CBD6E251F92B3837408C89C39CE1BBAEA0C03294A816432473A58FDD66C1A5k2P3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461
(ред. от 13.07.2021)
"Об утверждении федерального государственного образовательного стандарта среднего профессионального образования по специальности 35.02.12 Садово-парковое и ландшафтное строительство"
(Зарегистрировано в Минюсте России 27.06.2014 N 32891)</dc:title>
  <dcterms:created xsi:type="dcterms:W3CDTF">2022-12-16T16:15:35Z</dcterms:created>
</cp:coreProperties>
</file>