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1569</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43.01.09 Повар, кондитер"</w:t>
              <w:br/>
              <w:t xml:space="preserve">(Зарегистрировано в Минюсте России 22.12.2016 N 44898)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43.01.09 Повар, кондитер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имеет право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2.08.2013 N 798 (ред. от 09.04.2015) &quot;Об утверждении федерального государственного образовательного стандарта среднего профессионального образования по профессии 260807.01 Повар, кондитер&quot; (Зарегистрировано в Минюсте России 20.08.2013 N 29749)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1569</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3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повар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кондитер.</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2"/>
        <w:gridCol w:w="3458"/>
      </w:tblGrid>
      <w:tr>
        <w:tc>
          <w:tcPr>
            <w:tcW w:w="5612" w:type="dxa"/>
          </w:tcPr>
          <w:p>
            <w:pPr>
              <w:pStyle w:val="0"/>
              <w:jc w:val="center"/>
            </w:pPr>
            <w:r>
              <w:rPr>
                <w:sz w:val="20"/>
              </w:rPr>
              <w:t xml:space="preserve">Структура образовательной программы</w:t>
            </w:r>
          </w:p>
        </w:tc>
        <w:tc>
          <w:tcPr>
            <w:tcW w:w="3458" w:type="dxa"/>
          </w:tcPr>
          <w:p>
            <w:pPr>
              <w:pStyle w:val="0"/>
              <w:jc w:val="center"/>
            </w:pPr>
            <w:r>
              <w:rPr>
                <w:sz w:val="20"/>
              </w:rPr>
              <w:t xml:space="preserve">Объем образовательной программы в академических часах</w:t>
            </w:r>
          </w:p>
        </w:tc>
      </w:tr>
      <w:tr>
        <w:tc>
          <w:tcPr>
            <w:tcW w:w="5612" w:type="dxa"/>
          </w:tcPr>
          <w:p>
            <w:pPr>
              <w:pStyle w:val="0"/>
            </w:pPr>
            <w:r>
              <w:rPr>
                <w:sz w:val="20"/>
              </w:rPr>
              <w:t xml:space="preserve">Общепрофессиональный цикл</w:t>
            </w:r>
          </w:p>
        </w:tc>
        <w:tc>
          <w:tcPr>
            <w:tcW w:w="3458" w:type="dxa"/>
          </w:tcPr>
          <w:p>
            <w:pPr>
              <w:pStyle w:val="0"/>
              <w:jc w:val="center"/>
            </w:pPr>
            <w:r>
              <w:rPr>
                <w:sz w:val="20"/>
              </w:rPr>
              <w:t xml:space="preserve">не менее 324</w:t>
            </w:r>
          </w:p>
        </w:tc>
      </w:tr>
      <w:tr>
        <w:tc>
          <w:tcPr>
            <w:tcW w:w="5612" w:type="dxa"/>
          </w:tcPr>
          <w:p>
            <w:pPr>
              <w:pStyle w:val="0"/>
            </w:pPr>
            <w:r>
              <w:rPr>
                <w:sz w:val="20"/>
              </w:rPr>
              <w:t xml:space="preserve">Профессиональный цикл</w:t>
            </w:r>
          </w:p>
        </w:tc>
        <w:tc>
          <w:tcPr>
            <w:tcW w:w="3458" w:type="dxa"/>
          </w:tcPr>
          <w:p>
            <w:pPr>
              <w:pStyle w:val="0"/>
              <w:jc w:val="center"/>
            </w:pPr>
            <w:r>
              <w:rPr>
                <w:sz w:val="20"/>
              </w:rPr>
              <w:t xml:space="preserve">не менее 1980</w:t>
            </w:r>
          </w:p>
        </w:tc>
      </w:tr>
      <w:tr>
        <w:tc>
          <w:tcPr>
            <w:tcW w:w="5612" w:type="dxa"/>
          </w:tcPr>
          <w:p>
            <w:pPr>
              <w:pStyle w:val="0"/>
            </w:pPr>
            <w:r>
              <w:rPr>
                <w:sz w:val="20"/>
              </w:rPr>
              <w:t xml:space="preserve">Государственная итоговая аттестация:</w:t>
            </w:r>
          </w:p>
        </w:tc>
        <w:tc>
          <w:tcPr>
            <w:tcW w:w="3458" w:type="dxa"/>
          </w:tcPr>
          <w:p>
            <w:pPr>
              <w:pStyle w:val="0"/>
            </w:pPr>
            <w:r>
              <w:rPr>
                <w:sz w:val="20"/>
              </w:rPr>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36</w:t>
            </w:r>
          </w:p>
        </w:tc>
      </w:tr>
      <w:tr>
        <w:tc>
          <w:tcPr>
            <w:tcW w:w="5612" w:type="dxa"/>
          </w:tcPr>
          <w:p>
            <w:pPr>
              <w:pStyle w:val="0"/>
            </w:pPr>
            <w:r>
              <w:rPr>
                <w:sz w:val="20"/>
              </w:rPr>
              <w:t xml:space="preserve">на базе основного общего образования</w:t>
            </w:r>
          </w:p>
        </w:tc>
        <w:tc>
          <w:tcPr>
            <w:tcW w:w="3458"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2952</w:t>
            </w:r>
          </w:p>
        </w:tc>
      </w:tr>
      <w:tr>
        <w:tblPrEx>
          <w:tblBorders>
            <w:insideH w:val="nil"/>
          </w:tblBorders>
        </w:tblPrEx>
        <w:tc>
          <w:tcPr>
            <w:tcW w:w="5612"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58" w:type="dxa"/>
            <w:tcBorders>
              <w:bottom w:val="nil"/>
            </w:tcBorders>
          </w:tcPr>
          <w:p>
            <w:pPr>
              <w:pStyle w:val="0"/>
              <w:jc w:val="center"/>
            </w:pPr>
            <w:r>
              <w:rPr>
                <w:sz w:val="20"/>
              </w:rPr>
              <w:t xml:space="preserve">5904</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pPr>
        <w:pStyle w:val="0"/>
        <w:spacing w:before="200" w:line-rule="auto"/>
        <w:ind w:firstLine="540"/>
        <w:jc w:val="both"/>
      </w:pPr>
      <w:r>
        <w:rPr>
          <w:sz w:val="20"/>
        </w:rPr>
        <w:t xml:space="preserve">ПК 1.2. Осуществлять обработку, подготовку овощей, грибов, рыбы, нерыбного водного сырья, мяса, домашней птицы, дичи, кролика.</w:t>
      </w:r>
    </w:p>
    <w:p>
      <w:pPr>
        <w:pStyle w:val="0"/>
        <w:spacing w:before="200" w:line-rule="auto"/>
        <w:ind w:firstLine="540"/>
        <w:jc w:val="both"/>
      </w:pPr>
      <w:r>
        <w:rPr>
          <w:sz w:val="20"/>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pPr>
        <w:pStyle w:val="0"/>
        <w:spacing w:before="200" w:line-rule="auto"/>
        <w:ind w:firstLine="540"/>
        <w:jc w:val="both"/>
      </w:pPr>
      <w:r>
        <w:rPr>
          <w:sz w:val="20"/>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pPr>
        <w:pStyle w:val="0"/>
        <w:spacing w:before="200" w:line-rule="auto"/>
        <w:ind w:firstLine="540"/>
        <w:jc w:val="both"/>
      </w:pPr>
      <w:r>
        <w:rPr>
          <w:sz w:val="20"/>
        </w:rPr>
        <w:t xml:space="preserve">3.4.2. 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2.2. Осуществлять приготовление, непродолжительное хранение бульонов, отваров разнообразного ассортимента.</w:t>
      </w:r>
    </w:p>
    <w:p>
      <w:pPr>
        <w:pStyle w:val="0"/>
        <w:spacing w:before="200" w:line-rule="auto"/>
        <w:ind w:firstLine="540"/>
        <w:jc w:val="both"/>
      </w:pPr>
      <w:r>
        <w:rPr>
          <w:sz w:val="20"/>
        </w:rPr>
        <w:t xml:space="preserve">ПК 2.3. Осуществлять приготовление, творческое оформление и подготовку к реализации супов разнообразного ассортимента.</w:t>
      </w:r>
    </w:p>
    <w:p>
      <w:pPr>
        <w:pStyle w:val="0"/>
        <w:spacing w:before="200" w:line-rule="auto"/>
        <w:ind w:firstLine="540"/>
        <w:jc w:val="both"/>
      </w:pPr>
      <w:r>
        <w:rPr>
          <w:sz w:val="20"/>
        </w:rPr>
        <w:t xml:space="preserve">ПК 2.4. Осуществлять приготовление, непродолжительное хранение горячих соусов разнообразного ассортимента.</w:t>
      </w:r>
    </w:p>
    <w:p>
      <w:pPr>
        <w:pStyle w:val="0"/>
        <w:spacing w:before="200" w:line-rule="auto"/>
        <w:ind w:firstLine="540"/>
        <w:jc w:val="both"/>
      </w:pPr>
      <w:r>
        <w:rPr>
          <w:sz w:val="20"/>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pPr>
        <w:pStyle w:val="0"/>
        <w:spacing w:before="200" w:line-rule="auto"/>
        <w:ind w:firstLine="540"/>
        <w:jc w:val="both"/>
      </w:pPr>
      <w:r>
        <w:rPr>
          <w:sz w:val="20"/>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pPr>
        <w:pStyle w:val="0"/>
        <w:spacing w:before="200" w:line-rule="auto"/>
        <w:ind w:firstLine="540"/>
        <w:jc w:val="both"/>
      </w:pPr>
      <w:r>
        <w:rPr>
          <w:sz w:val="20"/>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pPr>
        <w:pStyle w:val="0"/>
        <w:spacing w:before="200" w:line-rule="auto"/>
        <w:ind w:firstLine="540"/>
        <w:jc w:val="both"/>
      </w:pPr>
      <w:r>
        <w:rPr>
          <w:sz w:val="20"/>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pPr>
        <w:pStyle w:val="0"/>
        <w:spacing w:before="200" w:line-rule="auto"/>
        <w:ind w:firstLine="540"/>
        <w:jc w:val="both"/>
      </w:pPr>
      <w:r>
        <w:rPr>
          <w:sz w:val="20"/>
        </w:rPr>
        <w:t xml:space="preserve">3.4.3. 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pPr>
        <w:pStyle w:val="0"/>
        <w:spacing w:before="200" w:line-rule="auto"/>
        <w:ind w:firstLine="540"/>
        <w:jc w:val="both"/>
      </w:pPr>
      <w:r>
        <w:rPr>
          <w:sz w:val="20"/>
        </w:rPr>
        <w:t xml:space="preserve">ПК 3.2. Осуществлять приготовление, непродолжительное хранение холодных соусов, заправок разнообразного ассортимента.</w:t>
      </w:r>
    </w:p>
    <w:p>
      <w:pPr>
        <w:pStyle w:val="0"/>
        <w:spacing w:before="200" w:line-rule="auto"/>
        <w:ind w:firstLine="540"/>
        <w:jc w:val="both"/>
      </w:pPr>
      <w:r>
        <w:rPr>
          <w:sz w:val="20"/>
        </w:rPr>
        <w:t xml:space="preserve">ПК 3.3. Осуществлять приготовление, творческое оформление и подготовку к реализации салатов разнообразного ассортимента.</w:t>
      </w:r>
    </w:p>
    <w:p>
      <w:pPr>
        <w:pStyle w:val="0"/>
        <w:spacing w:before="200" w:line-rule="auto"/>
        <w:ind w:firstLine="540"/>
        <w:jc w:val="both"/>
      </w:pPr>
      <w:r>
        <w:rPr>
          <w:sz w:val="20"/>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pPr>
        <w:pStyle w:val="0"/>
        <w:spacing w:before="200" w:line-rule="auto"/>
        <w:ind w:firstLine="540"/>
        <w:jc w:val="both"/>
      </w:pPr>
      <w:r>
        <w:rPr>
          <w:sz w:val="20"/>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pPr>
        <w:pStyle w:val="0"/>
        <w:spacing w:before="200" w:line-rule="auto"/>
        <w:ind w:firstLine="540"/>
        <w:jc w:val="both"/>
      </w:pPr>
      <w:r>
        <w:rPr>
          <w:sz w:val="20"/>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pPr>
        <w:pStyle w:val="0"/>
        <w:spacing w:before="200" w:line-rule="auto"/>
        <w:ind w:firstLine="540"/>
        <w:jc w:val="both"/>
      </w:pPr>
      <w:r>
        <w:rPr>
          <w:sz w:val="20"/>
        </w:rPr>
        <w:t xml:space="preserve">3.4.4. 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w:t>
      </w:r>
    </w:p>
    <w:p>
      <w:pPr>
        <w:pStyle w:val="0"/>
        <w:spacing w:before="200" w:line-rule="auto"/>
        <w:ind w:firstLine="540"/>
        <w:jc w:val="both"/>
      </w:pPr>
      <w:r>
        <w:rPr>
          <w:sz w:val="20"/>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w:t>
      </w:r>
    </w:p>
    <w:p>
      <w:pPr>
        <w:pStyle w:val="0"/>
        <w:spacing w:before="200" w:line-rule="auto"/>
        <w:ind w:firstLine="540"/>
        <w:jc w:val="both"/>
      </w:pPr>
      <w:r>
        <w:rPr>
          <w:sz w:val="20"/>
        </w:rPr>
        <w:t xml:space="preserve">ПК 4.4. Осуществлять приготовление, творческое оформление и подготовку к реализации холодных напитков разнообразного ассортимента.</w:t>
      </w:r>
    </w:p>
    <w:p>
      <w:pPr>
        <w:pStyle w:val="0"/>
        <w:spacing w:before="200" w:line-rule="auto"/>
        <w:ind w:firstLine="540"/>
        <w:jc w:val="both"/>
      </w:pPr>
      <w:r>
        <w:rPr>
          <w:sz w:val="20"/>
        </w:rPr>
        <w:t xml:space="preserve">ПК 4.5. Осуществлять приготовление, творческое оформление и подготовку к реализации горячих напитков разнообразного ассортимента.</w:t>
      </w:r>
    </w:p>
    <w:p>
      <w:pPr>
        <w:pStyle w:val="0"/>
        <w:spacing w:before="200" w:line-rule="auto"/>
        <w:ind w:firstLine="540"/>
        <w:jc w:val="both"/>
      </w:pPr>
      <w:r>
        <w:rPr>
          <w:sz w:val="20"/>
        </w:rPr>
        <w:t xml:space="preserve">3.4.5. 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pPr>
        <w:pStyle w:val="0"/>
        <w:spacing w:before="200" w:line-rule="auto"/>
        <w:ind w:firstLine="540"/>
        <w:jc w:val="both"/>
      </w:pPr>
      <w:r>
        <w:rPr>
          <w:sz w:val="20"/>
        </w:rPr>
        <w:t xml:space="preserve">ПК 5.2. Осуществлять приготовление и подготовку к использованию отделочных полуфабрикатов для хлебобулочных, мучных кондитерских изделий.</w:t>
      </w:r>
    </w:p>
    <w:p>
      <w:pPr>
        <w:pStyle w:val="0"/>
        <w:spacing w:before="200" w:line-rule="auto"/>
        <w:ind w:firstLine="540"/>
        <w:jc w:val="both"/>
      </w:pPr>
      <w:r>
        <w:rPr>
          <w:sz w:val="20"/>
        </w:rPr>
        <w:t xml:space="preserve">ПК 5.3. Осуществлять изготовление, творческое оформление, подготовку к реализации хлебобулочных изделий и хлеба разнообразного ассортимента.</w:t>
      </w:r>
    </w:p>
    <w:p>
      <w:pPr>
        <w:pStyle w:val="0"/>
        <w:spacing w:before="200" w:line-rule="auto"/>
        <w:ind w:firstLine="540"/>
        <w:jc w:val="both"/>
      </w:pPr>
      <w:r>
        <w:rPr>
          <w:sz w:val="20"/>
        </w:rPr>
        <w:t xml:space="preserve">ПК 5.4. Осуществлять изготовление, творческое оформление, подготовку к реализации мучных кондитерских изделий разнообразного ассортимента.</w:t>
      </w:r>
    </w:p>
    <w:p>
      <w:pPr>
        <w:pStyle w:val="0"/>
        <w:spacing w:before="200" w:line-rule="auto"/>
        <w:ind w:firstLine="540"/>
        <w:jc w:val="both"/>
      </w:pPr>
      <w:r>
        <w:rPr>
          <w:sz w:val="20"/>
        </w:rPr>
        <w:t xml:space="preserve">ПК 5.5. Осуществлять изготовление, творческое оформление, подготовку к реализации пирожных и тортов разнообразного ассортимента.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6"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pPr>
            <w:r>
              <w:rPr>
                <w:sz w:val="20"/>
              </w:rPr>
              <w:t xml:space="preserve">33.011</w:t>
            </w:r>
          </w:p>
        </w:tc>
        <w:tc>
          <w:tcPr>
            <w:tcW w:w="6803" w:type="dxa"/>
          </w:tcPr>
          <w:p>
            <w:pPr>
              <w:pStyle w:val="0"/>
              <w:jc w:val="both"/>
            </w:pPr>
            <w:r>
              <w:rPr>
                <w:sz w:val="20"/>
              </w:rPr>
              <w:t xml:space="preserve">Профессиональный </w:t>
            </w:r>
            <w:hyperlink w:history="0" r:id="rId23" w:tooltip="Приказ Минтруда России от 08.09.2015 N 610н &quot;Об утверждении профессионального стандарта &quot;Повар&quot; (Зарегистрировано в Минюсте России 29.09.2015 N 39023) ------------ Утратил силу или отменен {КонсультантПлюс}">
              <w:r>
                <w:rPr>
                  <w:sz w:val="20"/>
                  <w:color w:val="0000ff"/>
                </w:rPr>
                <w:t xml:space="preserve">стандарт</w:t>
              </w:r>
            </w:hyperlink>
            <w:r>
              <w:rPr>
                <w:sz w:val="20"/>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tc>
          <w:tcPr>
            <w:tcW w:w="2267" w:type="dxa"/>
          </w:tcPr>
          <w:p>
            <w:pPr>
              <w:pStyle w:val="0"/>
            </w:pPr>
            <w:r>
              <w:rPr>
                <w:sz w:val="20"/>
              </w:rPr>
              <w:t xml:space="preserve">33.010</w:t>
            </w:r>
          </w:p>
        </w:tc>
        <w:tc>
          <w:tcPr>
            <w:tcW w:w="6803" w:type="dxa"/>
          </w:tcPr>
          <w:p>
            <w:pPr>
              <w:pStyle w:val="0"/>
              <w:jc w:val="both"/>
            </w:pPr>
            <w:r>
              <w:rPr>
                <w:sz w:val="20"/>
              </w:rPr>
              <w:t xml:space="preserve">Профессиональный </w:t>
            </w:r>
            <w:hyperlink w:history="0" r:id="rId24" w:tooltip="Приказ Минтруда России от 07.09.2015 N 597н &quot;Об утверждении профессионального стандарта &quot;Кондитер&quot; (Зарегистрировано в Минюсте России 21.09.2015 N 38940) {КонсультантПлюс}">
              <w:r>
                <w:rPr>
                  <w:sz w:val="20"/>
                  <w:color w:val="0000ff"/>
                </w:rPr>
                <w:t xml:space="preserve">стандарт</w:t>
              </w:r>
            </w:hyperlink>
            <w:r>
              <w:rPr>
                <w:sz w:val="20"/>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tc>
          <w:tcPr>
            <w:tcW w:w="2267" w:type="dxa"/>
          </w:tcPr>
          <w:p>
            <w:pPr>
              <w:pStyle w:val="0"/>
            </w:pPr>
            <w:r>
              <w:rPr>
                <w:sz w:val="20"/>
              </w:rPr>
              <w:t xml:space="preserve">33.014</w:t>
            </w:r>
          </w:p>
        </w:tc>
        <w:tc>
          <w:tcPr>
            <w:tcW w:w="6803" w:type="dxa"/>
          </w:tcPr>
          <w:p>
            <w:pPr>
              <w:pStyle w:val="0"/>
              <w:jc w:val="both"/>
            </w:pPr>
            <w:r>
              <w:rPr>
                <w:sz w:val="20"/>
              </w:rPr>
              <w:t xml:space="preserve">Профессиональный </w:t>
            </w:r>
            <w:hyperlink w:history="0" r:id="rId25" w:tooltip="Приказ Минтруда России от 01.12.2015 N 914н &quot;Об утверждении профессионального стандарта &quot;Пекарь&quot; (Зарегистрировано в Минюсте России 25.12.2015 N 40270) {КонсультантПлюс}">
              <w:r>
                <w:rPr>
                  <w:sz w:val="20"/>
                  <w:color w:val="0000ff"/>
                </w:rPr>
                <w:t xml:space="preserve">стандарт</w:t>
              </w:r>
            </w:hyperlink>
            <w:r>
              <w:rPr>
                <w:sz w:val="20"/>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56" w:name="P256"/>
    <w:bookmarkEnd w:id="25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79"/>
      </w:tblGrid>
      <w:tr>
        <w:tc>
          <w:tcPr>
            <w:tcW w:w="2891" w:type="dxa"/>
          </w:tcPr>
          <w:p>
            <w:pPr>
              <w:pStyle w:val="0"/>
              <w:jc w:val="center"/>
            </w:pPr>
            <w:r>
              <w:rPr>
                <w:sz w:val="20"/>
              </w:rPr>
              <w:t xml:space="preserve">Основной вид деятельности</w:t>
            </w:r>
          </w:p>
        </w:tc>
        <w:tc>
          <w:tcPr>
            <w:tcW w:w="6179" w:type="dxa"/>
          </w:tcPr>
          <w:p>
            <w:pPr>
              <w:pStyle w:val="0"/>
              <w:jc w:val="center"/>
            </w:pPr>
            <w:r>
              <w:rPr>
                <w:sz w:val="20"/>
              </w:rPr>
              <w:t xml:space="preserve">Требования к знаниям, умениям, практическому опыту</w:t>
            </w:r>
          </w:p>
        </w:tc>
      </w:tr>
      <w:tr>
        <w:tc>
          <w:tcPr>
            <w:tcW w:w="2891" w:type="dxa"/>
          </w:tcPr>
          <w:p>
            <w:pPr>
              <w:pStyle w:val="0"/>
            </w:pPr>
            <w:r>
              <w:rPr>
                <w:sz w:val="20"/>
              </w:rPr>
              <w:t xml:space="preserve">Приготовление и подготовка к реализации полуфабрикатов для блюд, кулинарных изделий разнообразного ассортимента</w:t>
            </w:r>
          </w:p>
        </w:tc>
        <w:tc>
          <w:tcPr>
            <w:tcW w:w="6179" w:type="dxa"/>
          </w:tcPr>
          <w:p>
            <w:pPr>
              <w:pStyle w:val="0"/>
              <w:jc w:val="both"/>
            </w:pPr>
            <w:r>
              <w:rPr>
                <w:sz w:val="20"/>
              </w:rPr>
              <w:t xml:space="preserve">знать:</w:t>
            </w:r>
          </w:p>
          <w:p>
            <w:pPr>
              <w:pStyle w:val="0"/>
              <w:ind w:firstLine="300"/>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294"/>
              <w:jc w:val="both"/>
            </w:pPr>
            <w:r>
              <w:rPr>
                <w:sz w:val="20"/>
              </w:rPr>
              <w:t xml:space="preserve">виды, назначение, правила безопасной эксплуатации технологического оборудования и правила ухода за ним;</w:t>
            </w:r>
          </w:p>
          <w:p>
            <w:pPr>
              <w:pStyle w:val="0"/>
              <w:ind w:firstLine="294"/>
              <w:jc w:val="both"/>
            </w:pPr>
            <w:r>
              <w:rPr>
                <w:sz w:val="20"/>
              </w:rPr>
              <w:t xml:space="preserve">требования к качеству, условиям и срокам хранения овощей, грибов, рыбы, нерыбного водного сырья, птицы, дичи, полуфабрикатов из них;</w:t>
            </w:r>
          </w:p>
          <w:p>
            <w:pPr>
              <w:pStyle w:val="0"/>
              <w:ind w:firstLine="294"/>
              <w:jc w:val="both"/>
            </w:pPr>
            <w:r>
              <w:rPr>
                <w:sz w:val="20"/>
              </w:rPr>
              <w:t xml:space="preserve">рецептуры, методы обработки сырья, приготовления полуфабрикатов;</w:t>
            </w:r>
          </w:p>
          <w:p>
            <w:pPr>
              <w:pStyle w:val="0"/>
              <w:ind w:firstLine="294"/>
              <w:jc w:val="both"/>
            </w:pPr>
            <w:r>
              <w:rPr>
                <w:sz w:val="20"/>
              </w:rPr>
              <w:t xml:space="preserve">способы сокращения потерь при обработке сырья и приготовлении полуфабрикатов.</w:t>
            </w:r>
          </w:p>
          <w:p>
            <w:pPr>
              <w:pStyle w:val="0"/>
              <w:jc w:val="both"/>
            </w:pPr>
            <w:r>
              <w:rPr>
                <w:sz w:val="20"/>
              </w:rPr>
              <w:t xml:space="preserve">уметь:</w:t>
            </w:r>
          </w:p>
          <w:p>
            <w:pPr>
              <w:pStyle w:val="0"/>
              <w:ind w:firstLine="294"/>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294"/>
              <w:jc w:val="both"/>
            </w:pPr>
            <w:r>
              <w:rPr>
                <w:sz w:val="20"/>
              </w:rPr>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w:t>
            </w:r>
          </w:p>
          <w:p>
            <w:pPr>
              <w:pStyle w:val="0"/>
              <w:ind w:firstLine="294"/>
              <w:jc w:val="both"/>
            </w:pPr>
            <w:r>
              <w:rPr>
                <w:sz w:val="20"/>
              </w:rPr>
              <w:t xml:space="preserve">выбирать, применять, комбинировать методы обработки сырья, приготовления полуфабрикатов, обеспечивать условия, соблюдать сроки их хранения.</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w:t>
            </w:r>
          </w:p>
          <w:p>
            <w:pPr>
              <w:pStyle w:val="0"/>
              <w:ind w:firstLine="308"/>
              <w:jc w:val="both"/>
            </w:pPr>
            <w:r>
              <w:rPr>
                <w:sz w:val="20"/>
              </w:rPr>
              <w:t xml:space="preserve">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обработке традиционных видов овощей, грибов, рыбы, нерыбного водного сырья, птицы, дичи;</w:t>
            </w:r>
          </w:p>
          <w:p>
            <w:pPr>
              <w:pStyle w:val="0"/>
              <w:ind w:firstLine="308"/>
              <w:jc w:val="both"/>
            </w:pPr>
            <w:r>
              <w:rPr>
                <w:sz w:val="20"/>
              </w:rPr>
              <w:t xml:space="preserve">приготовлении, порционировании (комплектовании), упаковке на вынос, хранении полуфабрикатов разнообразного ассортимента;</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22"/>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22"/>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22"/>
              <w:jc w:val="both"/>
            </w:pPr>
            <w:r>
              <w:rPr>
                <w:sz w:val="20"/>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pPr>
              <w:pStyle w:val="0"/>
              <w:ind w:firstLine="322"/>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22"/>
              <w:jc w:val="both"/>
            </w:pPr>
            <w:r>
              <w:rPr>
                <w:sz w:val="20"/>
              </w:rPr>
              <w:t xml:space="preserve">правила и способы сервировки стола, презентации супов, горячих блюд, кулинарных изделий, закусок.</w:t>
            </w:r>
          </w:p>
          <w:p>
            <w:pPr>
              <w:pStyle w:val="0"/>
              <w:jc w:val="both"/>
            </w:pPr>
            <w:r>
              <w:rPr>
                <w:sz w:val="20"/>
              </w:rPr>
              <w:t xml:space="preserve">уметь:</w:t>
            </w:r>
          </w:p>
          <w:p>
            <w:pPr>
              <w:pStyle w:val="0"/>
              <w:ind w:firstLine="308"/>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22"/>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22"/>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pPr>
              <w:pStyle w:val="0"/>
              <w:ind w:firstLine="322"/>
              <w:jc w:val="both"/>
            </w:pPr>
            <w:r>
              <w:rPr>
                <w:sz w:val="20"/>
              </w:rPr>
              <w:t xml:space="preserve">упаковке, складировании неиспользованных продуктов;</w:t>
            </w:r>
          </w:p>
          <w:p>
            <w:pPr>
              <w:pStyle w:val="0"/>
              <w:ind w:firstLine="322"/>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22"/>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08"/>
              <w:jc w:val="both"/>
            </w:pPr>
            <w:r>
              <w:rPr>
                <w:sz w:val="20"/>
              </w:rPr>
              <w:t xml:space="preserve">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pPr>
              <w:pStyle w:val="0"/>
              <w:jc w:val="both"/>
            </w:pPr>
            <w:r>
              <w:rPr>
                <w:sz w:val="20"/>
              </w:rPr>
              <w:t xml:space="preserve">уметь:</w:t>
            </w:r>
          </w:p>
          <w:p>
            <w:pPr>
              <w:pStyle w:val="0"/>
              <w:ind w:firstLine="308"/>
              <w:jc w:val="both"/>
            </w:pPr>
            <w:r>
              <w:rPr>
                <w:sz w:val="20"/>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упаковке, складировании неиспользованных продуктов;</w:t>
            </w:r>
          </w:p>
          <w:p>
            <w:pPr>
              <w:pStyle w:val="0"/>
              <w:ind w:firstLine="308"/>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 и хранении;</w:t>
            </w:r>
          </w:p>
          <w:p>
            <w:pPr>
              <w:pStyle w:val="0"/>
              <w:ind w:firstLine="308"/>
              <w:jc w:val="both"/>
            </w:pPr>
            <w:r>
              <w:rPr>
                <w:sz w:val="20"/>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pPr>
              <w:pStyle w:val="0"/>
              <w:jc w:val="both"/>
            </w:pPr>
            <w:r>
              <w:rPr>
                <w:sz w:val="20"/>
              </w:rPr>
              <w:t xml:space="preserve">уметь:</w:t>
            </w:r>
          </w:p>
          <w:p>
            <w:pPr>
              <w:pStyle w:val="0"/>
              <w:ind w:firstLine="322"/>
              <w:jc w:val="both"/>
            </w:pPr>
            <w:r>
              <w:rPr>
                <w:sz w:val="20"/>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22"/>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22"/>
              <w:jc w:val="both"/>
            </w:pPr>
            <w:r>
              <w:rPr>
                <w:sz w:val="20"/>
              </w:rPr>
              <w:t xml:space="preserve">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pPr>
              <w:pStyle w:val="0"/>
              <w:ind w:firstLine="322"/>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0"/>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0"/>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pPr>
              <w:pStyle w:val="0"/>
              <w:ind w:firstLine="300"/>
              <w:jc w:val="both"/>
            </w:pPr>
            <w:r>
              <w:rPr>
                <w:sz w:val="20"/>
              </w:rPr>
              <w:t xml:space="preserve">упаковке, складировании неиспользованных продуктов;</w:t>
            </w:r>
          </w:p>
          <w:p>
            <w:pPr>
              <w:pStyle w:val="0"/>
              <w:ind w:firstLine="300"/>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0"/>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хлебобулочных, мучных кондитерских изделий;</w:t>
            </w:r>
          </w:p>
          <w:p>
            <w:pPr>
              <w:pStyle w:val="0"/>
              <w:ind w:firstLine="308"/>
              <w:jc w:val="both"/>
            </w:pPr>
            <w:r>
              <w:rPr>
                <w:sz w:val="20"/>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pPr>
              <w:pStyle w:val="0"/>
              <w:ind w:firstLine="308"/>
              <w:jc w:val="both"/>
            </w:pPr>
            <w:r>
              <w:rPr>
                <w:sz w:val="20"/>
              </w:rPr>
              <w:t xml:space="preserve">правила применения ароматических, красящих веществ, сухих смесей и готовых отделочных полуфабрикатов промышленного производства;</w:t>
            </w:r>
          </w:p>
          <w:p>
            <w:pPr>
              <w:pStyle w:val="0"/>
              <w:ind w:firstLine="308"/>
              <w:jc w:val="both"/>
            </w:pPr>
            <w:r>
              <w:rPr>
                <w:sz w:val="20"/>
              </w:rPr>
              <w:t xml:space="preserve">способы сокращения потерь и сохранения пищевой ценности продуктов при приготовлении;</w:t>
            </w:r>
          </w:p>
          <w:p>
            <w:pPr>
              <w:pStyle w:val="0"/>
              <w:jc w:val="both"/>
            </w:pPr>
            <w:r>
              <w:rPr>
                <w:sz w:val="20"/>
              </w:rPr>
              <w:t xml:space="preserve">уметь:</w:t>
            </w:r>
          </w:p>
          <w:p>
            <w:pPr>
              <w:pStyle w:val="0"/>
              <w:ind w:firstLine="300"/>
              <w:jc w:val="both"/>
            </w:pPr>
            <w:r>
              <w:rPr>
                <w:sz w:val="20"/>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0"/>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0"/>
              <w:jc w:val="both"/>
            </w:pPr>
            <w:r>
              <w:rPr>
                <w:sz w:val="20"/>
              </w:rPr>
              <w:t xml:space="preserve">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pPr>
              <w:pStyle w:val="0"/>
              <w:ind w:firstLine="300"/>
              <w:jc w:val="both"/>
            </w:pPr>
            <w:r>
              <w:rPr>
                <w:sz w:val="20"/>
              </w:rPr>
              <w:t xml:space="preserve">хранить, порционировать (комплектовать), эстетично упаковывать на вынос готовые изделия с учетом требований к безопасности;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w:t>
            </w:r>
          </w:p>
          <w:p>
            <w:pPr>
              <w:pStyle w:val="0"/>
              <w:ind w:firstLine="308"/>
              <w:jc w:val="both"/>
            </w:pPr>
            <w:r>
              <w:rPr>
                <w:sz w:val="20"/>
              </w:rPr>
              <w:t xml:space="preserve">приготовлении, хранении фаршей, начинок, отделочных полуфабрикатов;</w:t>
            </w:r>
          </w:p>
          <w:p>
            <w:pPr>
              <w:pStyle w:val="0"/>
              <w:ind w:firstLine="308"/>
              <w:jc w:val="both"/>
            </w:pPr>
            <w:r>
              <w:rPr>
                <w:sz w:val="20"/>
              </w:rPr>
              <w:t xml:space="preserve">подготовке отделочных полуфабрикатов промышленного производства;</w:t>
            </w:r>
          </w:p>
          <w:p>
            <w:pPr>
              <w:pStyle w:val="0"/>
              <w:ind w:firstLine="308"/>
              <w:jc w:val="both"/>
            </w:pPr>
            <w:r>
              <w:rPr>
                <w:sz w:val="20"/>
              </w:rPr>
              <w:t xml:space="preserve">приготовлении, подготовке к реализации хлебобулочных, мучных кондитерских изделий, в том числе региональных;</w:t>
            </w:r>
          </w:p>
          <w:p>
            <w:pPr>
              <w:pStyle w:val="0"/>
              <w:ind w:firstLine="308"/>
              <w:jc w:val="both"/>
            </w:pPr>
            <w:r>
              <w:rPr>
                <w:sz w:val="20"/>
              </w:rPr>
              <w:t xml:space="preserve">порционировании (комплектовании), эстетичной упаковке на вынос, хранении с учетом требований к безопасности;</w:t>
            </w:r>
          </w:p>
          <w:p>
            <w:pPr>
              <w:pStyle w:val="0"/>
              <w:ind w:firstLine="308"/>
              <w:jc w:val="both"/>
            </w:pPr>
            <w:r>
              <w:rPr>
                <w:sz w:val="20"/>
              </w:rPr>
              <w:t xml:space="preserve">ведении расчетов с потребителями.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1569</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58FE1100ED5901E455FF3380384DB76CF087BB5AAF0731F4B81D2C547CF28D3F24898A26AC0EA758280DABBBAB14664A7DF0A68F6FC2C1JA3FQ" TargetMode = "External"/>
	<Relationship Id="rId8" Type="http://schemas.openxmlformats.org/officeDocument/2006/relationships/hyperlink" Target="consultantplus://offline/ref=5C58FE1100ED5901E455FF3380384DB76DFF84B55FA00731F4B81D2C547CF28D3F24898A26AC0AA758280DABBBAB14664A7DF0A68F6FC2C1JA3FQ" TargetMode = "External"/>
	<Relationship Id="rId9" Type="http://schemas.openxmlformats.org/officeDocument/2006/relationships/hyperlink" Target="consultantplus://offline/ref=5C58FE1100ED5901E455FF3380384DB76EF085B35FA80731F4B81D2C547CF28D3F24898A26AC0AA15D280DABBBAB14664A7DF0A68F6FC2C1JA3FQ" TargetMode = "External"/>
	<Relationship Id="rId10" Type="http://schemas.openxmlformats.org/officeDocument/2006/relationships/hyperlink" Target="consultantplus://offline/ref=5C58FE1100ED5901E455FF3380384DB76EF08AB45FA90731F4B81D2C547CF28D3F24898A26AC0AA258280DABBBAB14664A7DF0A68F6FC2C1JA3FQ" TargetMode = "External"/>
	<Relationship Id="rId11" Type="http://schemas.openxmlformats.org/officeDocument/2006/relationships/hyperlink" Target="consultantplus://offline/ref=5C58FE1100ED5901E455FF3380384DB76CF087BB5AAF0731F4B81D2C547CF28D3F24898A26AC0EA758280DABBBAB14664A7DF0A68F6FC2C1JA3FQ" TargetMode = "External"/>
	<Relationship Id="rId12" Type="http://schemas.openxmlformats.org/officeDocument/2006/relationships/hyperlink" Target="consultantplus://offline/ref=5C58FE1100ED5901E455FF3380384DB76DF687B45CA80731F4B81D2C547CF28D2D24D18627AA14A2583D5BFAFDJF3CQ" TargetMode = "External"/>
	<Relationship Id="rId13" Type="http://schemas.openxmlformats.org/officeDocument/2006/relationships/hyperlink" Target="consultantplus://offline/ref=5C58FE1100ED5901E455FF3380384DB76CF087BB5AAF0731F4B81D2C547CF28D3F24898A26AC0EA759280DABBBAB14664A7DF0A68F6FC2C1JA3FQ" TargetMode = "External"/>
	<Relationship Id="rId14" Type="http://schemas.openxmlformats.org/officeDocument/2006/relationships/hyperlink" Target="consultantplus://offline/ref=5C58FE1100ED5901E455FF3380384DB76BF480B75DAE0731F4B81D2C547CF28D3F24898A26AC08A753280DABBBAB14664A7DF0A68F6FC2C1JA3FQ" TargetMode = "External"/>
	<Relationship Id="rId15" Type="http://schemas.openxmlformats.org/officeDocument/2006/relationships/hyperlink" Target="consultantplus://offline/ref=5C58FE1100ED5901E455FF3380384DB76CF084B45FAA0731F4B81D2C547CF28D3F24898A26AC0AA259280DABBBAB14664A7DF0A68F6FC2C1JA3FQ" TargetMode = "External"/>
	<Relationship Id="rId16" Type="http://schemas.openxmlformats.org/officeDocument/2006/relationships/image" Target="media/image2.wmf"/>
	<Relationship Id="rId17" Type="http://schemas.openxmlformats.org/officeDocument/2006/relationships/hyperlink" Target="consultantplus://offline/ref=5C58FE1100ED5901E455FF3380384DB76CF087BB5AAF0731F4B81D2C547CF28D3F24898A26AC0EA75E280DABBBAB14664A7DF0A68F6FC2C1JA3FQ" TargetMode = "External"/>
	<Relationship Id="rId18" Type="http://schemas.openxmlformats.org/officeDocument/2006/relationships/hyperlink" Target="consultantplus://offline/ref=5C58FE1100ED5901E455FF3380384DB76CF087BB5AAF0731F4B81D2C547CF28D3F24898A26AC0EA75C280DABBBAB14664A7DF0A68F6FC2C1JA3FQ" TargetMode = "External"/>
	<Relationship Id="rId19" Type="http://schemas.openxmlformats.org/officeDocument/2006/relationships/hyperlink" Target="consultantplus://offline/ref=5C58FE1100ED5901E455FF3380384DB76CF087BB5AAF0731F4B81D2C547CF28D3F24898A26AC0EA75D280DABBBAB14664A7DF0A68F6FC2C1JA3FQ" TargetMode = "External"/>
	<Relationship Id="rId20" Type="http://schemas.openxmlformats.org/officeDocument/2006/relationships/hyperlink" Target="consultantplus://offline/ref=5C58FE1100ED5901E455FF3380384DB76CF087BB5AAF0731F4B81D2C547CF28D3F24898A26AC0EA652280DABBBAB14664A7DF0A68F6FC2C1JA3FQ" TargetMode = "External"/>
	<Relationship Id="rId21" Type="http://schemas.openxmlformats.org/officeDocument/2006/relationships/hyperlink" Target="consultantplus://offline/ref=5C58FE1100ED5901E455FF3380384DB76CF087BB5AAF0731F4B81D2C547CF28D3F24898A26AC0EA55A280DABBBAB14664A7DF0A68F6FC2C1JA3FQ" TargetMode = "External"/>
	<Relationship Id="rId22" Type="http://schemas.openxmlformats.org/officeDocument/2006/relationships/hyperlink" Target="consultantplus://offline/ref=5C58FE1100ED5901E455FF3380384DB76CF087BB5AAF0731F4B81D2C547CF28D3F24898A26AC0EA55B280DABBBAB14664A7DF0A68F6FC2C1JA3FQ" TargetMode = "External"/>
	<Relationship Id="rId23" Type="http://schemas.openxmlformats.org/officeDocument/2006/relationships/hyperlink" Target="consultantplus://offline/ref=5C58FE1100ED5901E455FF3380384DB76EFF85B457A10731F4B81D2C547CF28D3F24898A26AC0AA353280DABBBAB14664A7DF0A68F6FC2C1JA3FQ" TargetMode = "External"/>
	<Relationship Id="rId24" Type="http://schemas.openxmlformats.org/officeDocument/2006/relationships/hyperlink" Target="consultantplus://offline/ref=5C58FE1100ED5901E455FF3380384DB76EFF85B059A00731F4B81D2C547CF28D3F24898A26AC0AA353280DABBBAB14664A7DF0A68F6FC2C1JA3FQ" TargetMode = "External"/>
	<Relationship Id="rId25" Type="http://schemas.openxmlformats.org/officeDocument/2006/relationships/hyperlink" Target="consultantplus://offline/ref=5C58FE1100ED5901E455FF3380384DB76EFE81B05BA00731F4B81D2C547CF28D3F24898A26AC0AA353280DABBBAB14664A7DF0A68F6FC2C1JA3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1569
(ред. от 17.12.2020)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(Зарегистрировано в Минюсте России 22.12.2016 N 44898)</dc:title>
  <dcterms:created xsi:type="dcterms:W3CDTF">2022-12-16T16:55:08Z</dcterms:created>
</cp:coreProperties>
</file>